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6A8" w:rsidRPr="005C26A8" w:rsidRDefault="005C26A8" w:rsidP="004504AA">
      <w:pPr>
        <w:keepNext/>
        <w:tabs>
          <w:tab w:val="center" w:pos="4680"/>
          <w:tab w:val="right" w:pos="9270"/>
        </w:tabs>
        <w:suppressAutoHyphens/>
        <w:overflowPunct w:val="0"/>
        <w:autoSpaceDE w:val="0"/>
        <w:autoSpaceDN w:val="0"/>
        <w:adjustRightInd w:val="0"/>
        <w:spacing w:after="0" w:line="240" w:lineRule="auto"/>
        <w:rPr>
          <w:rFonts w:ascii="Times New Roman" w:eastAsia="Times New Roman" w:hAnsi="Times New Roman" w:cs="Times New Roman"/>
          <w:b/>
          <w:caps/>
          <w:sz w:val="24"/>
          <w:szCs w:val="24"/>
        </w:rPr>
      </w:pPr>
      <w:r w:rsidRPr="005C26A8">
        <w:rPr>
          <w:rFonts w:ascii="Times New Roman" w:eastAsia="Times New Roman" w:hAnsi="Times New Roman" w:cs="Times New Roman"/>
          <w:b/>
          <w:caps/>
          <w:sz w:val="24"/>
          <w:szCs w:val="24"/>
        </w:rPr>
        <w:t>SAMPLE</w:t>
      </w:r>
    </w:p>
    <w:p w:rsidR="005C26A8" w:rsidRPr="005C26A8" w:rsidRDefault="005C26A8" w:rsidP="004504AA">
      <w:pPr>
        <w:keepNext/>
        <w:tabs>
          <w:tab w:val="center" w:pos="4680"/>
          <w:tab w:val="right" w:pos="9270"/>
        </w:tabs>
        <w:suppressAutoHyphens/>
        <w:overflowPunct w:val="0"/>
        <w:autoSpaceDE w:val="0"/>
        <w:autoSpaceDN w:val="0"/>
        <w:adjustRightInd w:val="0"/>
        <w:spacing w:after="0" w:line="240" w:lineRule="auto"/>
        <w:rPr>
          <w:rFonts w:ascii="Times New Roman" w:eastAsia="Times New Roman" w:hAnsi="Times New Roman" w:cs="Times New Roman"/>
          <w:b/>
          <w:caps/>
          <w:sz w:val="24"/>
          <w:szCs w:val="20"/>
        </w:rPr>
      </w:pPr>
      <w:r w:rsidRPr="005C26A8">
        <w:rPr>
          <w:rFonts w:ascii="Times New Roman" w:eastAsia="Times New Roman" w:hAnsi="Times New Roman" w:cs="Times New Roman"/>
          <w:b/>
          <w:caps/>
          <w:sz w:val="24"/>
          <w:szCs w:val="24"/>
        </w:rPr>
        <w:t>CAUSE</w:t>
      </w:r>
      <w:r w:rsidRPr="005C26A8">
        <w:rPr>
          <w:rFonts w:ascii="Times New Roman" w:eastAsia="Times New Roman" w:hAnsi="Times New Roman" w:cs="Times New Roman"/>
          <w:b/>
          <w:caps/>
          <w:sz w:val="24"/>
          <w:szCs w:val="20"/>
        </w:rPr>
        <w:t xml:space="preserve"> NO. ________</w:t>
      </w:r>
    </w:p>
    <w:p w:rsidR="005C26A8" w:rsidRPr="005C26A8" w:rsidRDefault="005C26A8" w:rsidP="004504AA">
      <w:pPr>
        <w:keepNext/>
        <w:tabs>
          <w:tab w:val="center" w:pos="4680"/>
          <w:tab w:val="right" w:pos="9270"/>
        </w:tabs>
        <w:suppressAutoHyphens/>
        <w:overflowPunct w:val="0"/>
        <w:autoSpaceDE w:val="0"/>
        <w:autoSpaceDN w:val="0"/>
        <w:adjustRightInd w:val="0"/>
        <w:spacing w:after="0" w:line="240" w:lineRule="auto"/>
        <w:rPr>
          <w:rFonts w:ascii="Times New Roman" w:eastAsia="Times New Roman" w:hAnsi="Times New Roman" w:cs="Times New Roman"/>
          <w:b/>
          <w:caps/>
          <w:sz w:val="24"/>
          <w:szCs w:val="20"/>
        </w:rPr>
      </w:pPr>
    </w:p>
    <w:p w:rsidR="005C26A8" w:rsidRPr="005C26A8" w:rsidRDefault="005C26A8" w:rsidP="004504AA">
      <w:pPr>
        <w:keepNext/>
        <w:tabs>
          <w:tab w:val="center" w:pos="4680"/>
          <w:tab w:val="right" w:pos="9270"/>
        </w:tabs>
        <w:suppressAutoHyphens/>
        <w:overflowPunct w:val="0"/>
        <w:autoSpaceDE w:val="0"/>
        <w:autoSpaceDN w:val="0"/>
        <w:adjustRightInd w:val="0"/>
        <w:spacing w:after="0" w:line="240" w:lineRule="auto"/>
        <w:rPr>
          <w:rFonts w:ascii="Times New Roman" w:eastAsia="Times New Roman" w:hAnsi="Times New Roman" w:cs="Times New Roman"/>
          <w:b/>
          <w:caps/>
          <w:sz w:val="24"/>
          <w:szCs w:val="20"/>
        </w:rPr>
      </w:pPr>
      <w:r w:rsidRPr="005C26A8">
        <w:rPr>
          <w:rFonts w:ascii="Times New Roman" w:eastAsia="Times New Roman" w:hAnsi="Times New Roman" w:cs="Times New Roman"/>
          <w:b/>
          <w:caps/>
          <w:sz w:val="24"/>
          <w:szCs w:val="20"/>
        </w:rPr>
        <w:t>IN THE INTEREST OF</w:t>
      </w:r>
      <w:r w:rsidRPr="005C26A8">
        <w:rPr>
          <w:rFonts w:ascii="Times New Roman" w:eastAsia="Times New Roman" w:hAnsi="Times New Roman" w:cs="Times New Roman"/>
          <w:b/>
          <w:caps/>
          <w:sz w:val="24"/>
          <w:szCs w:val="20"/>
        </w:rPr>
        <w:tab/>
        <w:t>§</w:t>
      </w:r>
      <w:r w:rsidRPr="005C26A8">
        <w:rPr>
          <w:rFonts w:ascii="Times New Roman" w:eastAsia="Times New Roman" w:hAnsi="Times New Roman" w:cs="Times New Roman"/>
          <w:b/>
          <w:caps/>
          <w:sz w:val="24"/>
          <w:szCs w:val="20"/>
        </w:rPr>
        <w:tab/>
      </w:r>
      <w:r w:rsidRPr="005C26A8">
        <w:rPr>
          <w:rFonts w:ascii="Times New Roman" w:eastAsia="Times New Roman" w:hAnsi="Times New Roman" w:cs="Times New Roman"/>
          <w:b/>
          <w:caps/>
          <w:color w:val="000000"/>
          <w:sz w:val="24"/>
          <w:szCs w:val="20"/>
        </w:rPr>
        <w:t>IN THE DISTRICT COURT OF</w:t>
      </w:r>
    </w:p>
    <w:p w:rsidR="005C26A8" w:rsidRPr="005C26A8" w:rsidRDefault="005C26A8" w:rsidP="004504AA">
      <w:pPr>
        <w:keepNext/>
        <w:tabs>
          <w:tab w:val="center" w:pos="4680"/>
          <w:tab w:val="right" w:pos="9270"/>
        </w:tabs>
        <w:suppressAutoHyphens/>
        <w:overflowPunct w:val="0"/>
        <w:autoSpaceDE w:val="0"/>
        <w:autoSpaceDN w:val="0"/>
        <w:adjustRightInd w:val="0"/>
        <w:spacing w:after="0" w:line="240" w:lineRule="auto"/>
        <w:rPr>
          <w:rFonts w:ascii="Times New Roman" w:eastAsia="Times New Roman" w:hAnsi="Times New Roman" w:cs="Times New Roman"/>
          <w:b/>
          <w:caps/>
          <w:sz w:val="24"/>
          <w:szCs w:val="20"/>
        </w:rPr>
      </w:pPr>
      <w:r w:rsidRPr="005C26A8">
        <w:rPr>
          <w:rFonts w:ascii="Times New Roman" w:eastAsia="Times New Roman" w:hAnsi="Times New Roman" w:cs="Times New Roman"/>
          <w:b/>
          <w:caps/>
          <w:sz w:val="24"/>
          <w:szCs w:val="20"/>
        </w:rPr>
        <w:tab/>
        <w:t>§</w:t>
      </w:r>
      <w:r w:rsidRPr="005C26A8">
        <w:rPr>
          <w:rFonts w:ascii="Times New Roman" w:eastAsia="Times New Roman" w:hAnsi="Times New Roman" w:cs="Times New Roman"/>
          <w:b/>
          <w:caps/>
          <w:sz w:val="24"/>
          <w:szCs w:val="20"/>
        </w:rPr>
        <w:tab/>
      </w:r>
    </w:p>
    <w:p w:rsidR="005C26A8" w:rsidRPr="005C26A8" w:rsidRDefault="005C26A8" w:rsidP="004504AA">
      <w:pPr>
        <w:keepNext/>
        <w:tabs>
          <w:tab w:val="center" w:pos="4680"/>
          <w:tab w:val="right" w:pos="9270"/>
        </w:tabs>
        <w:suppressAutoHyphens/>
        <w:overflowPunct w:val="0"/>
        <w:autoSpaceDE w:val="0"/>
        <w:autoSpaceDN w:val="0"/>
        <w:adjustRightInd w:val="0"/>
        <w:spacing w:after="0" w:line="240" w:lineRule="auto"/>
        <w:rPr>
          <w:rFonts w:ascii="Times New Roman" w:eastAsia="Times New Roman" w:hAnsi="Times New Roman" w:cs="Times New Roman"/>
          <w:b/>
          <w:caps/>
          <w:sz w:val="24"/>
          <w:szCs w:val="20"/>
        </w:rPr>
      </w:pPr>
      <w:r w:rsidRPr="005C26A8">
        <w:rPr>
          <w:rFonts w:ascii="Times New Roman" w:eastAsia="Times New Roman" w:hAnsi="Times New Roman" w:cs="Times New Roman"/>
          <w:b/>
          <w:caps/>
          <w:color w:val="000000"/>
          <w:sz w:val="24"/>
          <w:szCs w:val="20"/>
        </w:rPr>
        <w:t>children</w:t>
      </w:r>
      <w:r w:rsidRPr="005C26A8">
        <w:rPr>
          <w:rFonts w:ascii="Times New Roman" w:eastAsia="Times New Roman" w:hAnsi="Times New Roman" w:cs="Times New Roman"/>
          <w:b/>
          <w:caps/>
          <w:sz w:val="24"/>
          <w:szCs w:val="20"/>
        </w:rPr>
        <w:tab/>
        <w:t>§</w:t>
      </w:r>
      <w:r w:rsidRPr="005C26A8">
        <w:rPr>
          <w:rFonts w:ascii="Times New Roman" w:eastAsia="Times New Roman" w:hAnsi="Times New Roman" w:cs="Times New Roman"/>
          <w:b/>
          <w:caps/>
          <w:sz w:val="24"/>
          <w:szCs w:val="20"/>
        </w:rPr>
        <w:tab/>
      </w:r>
      <w:r w:rsidRPr="005C26A8">
        <w:rPr>
          <w:rFonts w:ascii="Times New Roman" w:eastAsia="Times New Roman" w:hAnsi="Times New Roman" w:cs="Times New Roman"/>
          <w:b/>
          <w:caps/>
          <w:color w:val="000000"/>
          <w:sz w:val="24"/>
          <w:szCs w:val="20"/>
        </w:rPr>
        <w:t>______COUNTY, TEXAS</w:t>
      </w:r>
    </w:p>
    <w:p w:rsidR="005C26A8" w:rsidRPr="005C26A8" w:rsidRDefault="005C26A8" w:rsidP="004504AA">
      <w:pPr>
        <w:keepNext/>
        <w:tabs>
          <w:tab w:val="center" w:pos="4680"/>
          <w:tab w:val="right" w:pos="9270"/>
        </w:tabs>
        <w:suppressAutoHyphens/>
        <w:overflowPunct w:val="0"/>
        <w:autoSpaceDE w:val="0"/>
        <w:autoSpaceDN w:val="0"/>
        <w:adjustRightInd w:val="0"/>
        <w:spacing w:after="0" w:line="240" w:lineRule="auto"/>
        <w:rPr>
          <w:rFonts w:ascii="Times New Roman" w:eastAsia="Times New Roman" w:hAnsi="Times New Roman" w:cs="Times New Roman"/>
          <w:b/>
          <w:caps/>
          <w:sz w:val="24"/>
          <w:szCs w:val="20"/>
        </w:rPr>
      </w:pPr>
      <w:r w:rsidRPr="005C26A8">
        <w:rPr>
          <w:rFonts w:ascii="Times New Roman" w:eastAsia="Times New Roman" w:hAnsi="Times New Roman" w:cs="Times New Roman"/>
          <w:b/>
          <w:caps/>
          <w:sz w:val="24"/>
          <w:szCs w:val="20"/>
        </w:rPr>
        <w:tab/>
        <w:t>§</w:t>
      </w:r>
      <w:r w:rsidRPr="005C26A8">
        <w:rPr>
          <w:rFonts w:ascii="Times New Roman" w:eastAsia="Times New Roman" w:hAnsi="Times New Roman" w:cs="Times New Roman"/>
          <w:b/>
          <w:caps/>
          <w:sz w:val="24"/>
          <w:szCs w:val="20"/>
        </w:rPr>
        <w:tab/>
      </w:r>
    </w:p>
    <w:p w:rsidR="005C26A8" w:rsidRPr="005C26A8" w:rsidRDefault="005C26A8" w:rsidP="004504AA">
      <w:pPr>
        <w:keepNext/>
        <w:tabs>
          <w:tab w:val="center" w:pos="4680"/>
          <w:tab w:val="right" w:pos="9270"/>
        </w:tabs>
        <w:overflowPunct w:val="0"/>
        <w:autoSpaceDE w:val="0"/>
        <w:autoSpaceDN w:val="0"/>
        <w:adjustRightInd w:val="0"/>
        <w:spacing w:after="0" w:line="240" w:lineRule="auto"/>
        <w:outlineLvl w:val="0"/>
        <w:rPr>
          <w:rFonts w:ascii="Times New Roman" w:eastAsia="Times New Roman" w:hAnsi="Times New Roman" w:cs="Times New Roman"/>
          <w:b/>
          <w:sz w:val="24"/>
          <w:szCs w:val="20"/>
        </w:rPr>
      </w:pPr>
      <w:bookmarkStart w:id="0" w:name="_GoBack"/>
      <w:bookmarkEnd w:id="0"/>
      <w:r w:rsidRPr="005C26A8">
        <w:rPr>
          <w:rFonts w:ascii="Times New Roman" w:eastAsia="Times New Roman" w:hAnsi="Times New Roman" w:cs="Times New Roman"/>
          <w:b/>
          <w:sz w:val="24"/>
          <w:szCs w:val="20"/>
        </w:rPr>
        <w:tab/>
        <w:t>§</w:t>
      </w:r>
      <w:r w:rsidRPr="005C26A8">
        <w:rPr>
          <w:rFonts w:ascii="Times New Roman" w:eastAsia="Times New Roman" w:hAnsi="Times New Roman" w:cs="Times New Roman"/>
          <w:b/>
          <w:sz w:val="24"/>
          <w:szCs w:val="20"/>
        </w:rPr>
        <w:tab/>
      </w:r>
      <w:r w:rsidRPr="005C26A8">
        <w:rPr>
          <w:rFonts w:ascii="Times New Roman" w:eastAsia="Times New Roman" w:hAnsi="Times New Roman" w:cs="Times New Roman"/>
          <w:b/>
          <w:sz w:val="24"/>
          <w:szCs w:val="24"/>
        </w:rPr>
        <w:t xml:space="preserve">____ </w:t>
      </w:r>
      <w:r w:rsidRPr="005C26A8">
        <w:rPr>
          <w:rFonts w:ascii="Times New Roman" w:eastAsia="Times New Roman" w:hAnsi="Times New Roman" w:cs="Times New Roman"/>
          <w:b/>
          <w:color w:val="000000"/>
          <w:sz w:val="24"/>
          <w:szCs w:val="24"/>
        </w:rPr>
        <w:t>JUDICIAL DISTRICT</w:t>
      </w:r>
      <w:r w:rsidRPr="005C26A8">
        <w:rPr>
          <w:rFonts w:ascii="Times New Roman" w:eastAsia="Times New Roman" w:hAnsi="Times New Roman" w:cs="Times New Roman"/>
          <w:b/>
          <w:sz w:val="24"/>
          <w:szCs w:val="20"/>
        </w:rPr>
        <w:tab/>
      </w:r>
    </w:p>
    <w:p w:rsidR="005C26A8" w:rsidRPr="005C26A8" w:rsidRDefault="005C26A8" w:rsidP="004504AA">
      <w:pPr>
        <w:tabs>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
    <w:p w:rsidR="005C26A8" w:rsidRPr="005C26A8" w:rsidRDefault="005C26A8" w:rsidP="004504AA">
      <w:pPr>
        <w:tabs>
          <w:tab w:val="center" w:pos="4680"/>
        </w:tabs>
        <w:overflowPunct w:val="0"/>
        <w:autoSpaceDE w:val="0"/>
        <w:autoSpaceDN w:val="0"/>
        <w:adjustRightInd w:val="0"/>
        <w:spacing w:after="0" w:line="240" w:lineRule="auto"/>
        <w:rPr>
          <w:rFonts w:ascii="Times New Roman" w:eastAsia="Times New Roman" w:hAnsi="Times New Roman" w:cs="Times New Roman"/>
          <w:spacing w:val="-2"/>
          <w:sz w:val="24"/>
          <w:szCs w:val="20"/>
        </w:rPr>
      </w:pPr>
      <w:r w:rsidRPr="005C26A8">
        <w:rPr>
          <w:rFonts w:ascii="Times New Roman" w:eastAsia="Times New Roman" w:hAnsi="Times New Roman" w:cs="Times New Roman"/>
          <w:b/>
          <w:spacing w:val="-2"/>
          <w:sz w:val="24"/>
          <w:szCs w:val="20"/>
          <w:u w:val="single"/>
        </w:rPr>
        <w:t>PETITIONER’S MOTION IN LIMINE</w:t>
      </w:r>
    </w:p>
    <w:p w:rsidR="005C26A8" w:rsidRPr="005C26A8" w:rsidRDefault="005C26A8" w:rsidP="004504AA">
      <w:pPr>
        <w:tabs>
          <w:tab w:val="left" w:pos="-720"/>
        </w:tabs>
        <w:overflowPunct w:val="0"/>
        <w:autoSpaceDE w:val="0"/>
        <w:autoSpaceDN w:val="0"/>
        <w:adjustRightInd w:val="0"/>
        <w:spacing w:after="0" w:line="240" w:lineRule="auto"/>
        <w:rPr>
          <w:rFonts w:ascii="Times New Roman" w:eastAsia="Times New Roman" w:hAnsi="Times New Roman" w:cs="Times New Roman"/>
          <w:spacing w:val="-2"/>
          <w:sz w:val="24"/>
          <w:szCs w:val="20"/>
        </w:rPr>
      </w:pPr>
    </w:p>
    <w:p w:rsidR="005C26A8" w:rsidRPr="005C26A8" w:rsidRDefault="005C26A8" w:rsidP="004504AA">
      <w:pPr>
        <w:tabs>
          <w:tab w:val="left" w:pos="-720"/>
        </w:tabs>
        <w:overflowPunct w:val="0"/>
        <w:autoSpaceDE w:val="0"/>
        <w:autoSpaceDN w:val="0"/>
        <w:adjustRightInd w:val="0"/>
        <w:spacing w:after="0" w:line="360" w:lineRule="auto"/>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ab/>
        <w:t xml:space="preserve">This Petitioner’s Motion in </w:t>
      </w:r>
      <w:proofErr w:type="spellStart"/>
      <w:r w:rsidRPr="005C26A8">
        <w:rPr>
          <w:rFonts w:ascii="Times New Roman" w:eastAsia="Times New Roman" w:hAnsi="Times New Roman" w:cs="Times New Roman"/>
          <w:spacing w:val="-2"/>
          <w:sz w:val="24"/>
          <w:szCs w:val="20"/>
        </w:rPr>
        <w:t>Limine</w:t>
      </w:r>
      <w:proofErr w:type="spellEnd"/>
      <w:r w:rsidRPr="005C26A8">
        <w:rPr>
          <w:rFonts w:ascii="Times New Roman" w:eastAsia="Times New Roman" w:hAnsi="Times New Roman" w:cs="Times New Roman"/>
          <w:spacing w:val="-2"/>
          <w:sz w:val="24"/>
          <w:szCs w:val="20"/>
        </w:rPr>
        <w:t xml:space="preserve"> is brought by the Texas Department of Family and Protective Services, “Department”.  The Department requests that the Court:</w:t>
      </w:r>
    </w:p>
    <w:p w:rsidR="005C26A8" w:rsidRPr="005C26A8" w:rsidRDefault="005C26A8" w:rsidP="004504AA">
      <w:pPr>
        <w:numPr>
          <w:ilvl w:val="0"/>
          <w:numId w:val="1"/>
        </w:numPr>
        <w:tabs>
          <w:tab w:val="left" w:pos="-720"/>
        </w:tabs>
        <w:overflowPunct w:val="0"/>
        <w:autoSpaceDE w:val="0"/>
        <w:autoSpaceDN w:val="0"/>
        <w:adjustRightInd w:val="0"/>
        <w:spacing w:after="0" w:line="360" w:lineRule="auto"/>
        <w:ind w:left="1260" w:hanging="54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Instruct the attorneys for Respondents, not to mention, refer to, or bring before the jury, directly or indirectly, upon </w:t>
      </w:r>
      <w:proofErr w:type="spellStart"/>
      <w:r w:rsidRPr="005C26A8">
        <w:rPr>
          <w:rFonts w:ascii="Times New Roman" w:eastAsia="Times New Roman" w:hAnsi="Times New Roman" w:cs="Times New Roman"/>
          <w:spacing w:val="-2"/>
          <w:sz w:val="24"/>
          <w:szCs w:val="20"/>
        </w:rPr>
        <w:t>voir</w:t>
      </w:r>
      <w:proofErr w:type="spellEnd"/>
      <w:r w:rsidRPr="005C26A8">
        <w:rPr>
          <w:rFonts w:ascii="Times New Roman" w:eastAsia="Times New Roman" w:hAnsi="Times New Roman" w:cs="Times New Roman"/>
          <w:spacing w:val="-2"/>
          <w:sz w:val="24"/>
          <w:szCs w:val="20"/>
        </w:rPr>
        <w:t xml:space="preserve"> dire examination, reading of the pleadings, statement of the case, interrogation of the witnesses, argument, objections before the jury, discussions before the bench, or in any other manner any of the matters set forth below, unless and until such matters have first been called to the Court</w:t>
      </w:r>
      <w:smartTag w:uri="urn:schemas-microsoft-com:office:smarttags" w:element="PersonName">
        <w:r w:rsidRPr="005C26A8">
          <w:rPr>
            <w:rFonts w:ascii="Times New Roman" w:eastAsia="Times New Roman" w:hAnsi="Times New Roman" w:cs="Times New Roman"/>
            <w:spacing w:val="-2"/>
            <w:sz w:val="24"/>
            <w:szCs w:val="20"/>
          </w:rPr>
          <w:t>'</w:t>
        </w:r>
      </w:smartTag>
      <w:r w:rsidRPr="005C26A8">
        <w:rPr>
          <w:rFonts w:ascii="Times New Roman" w:eastAsia="Times New Roman" w:hAnsi="Times New Roman" w:cs="Times New Roman"/>
          <w:spacing w:val="-2"/>
          <w:sz w:val="24"/>
          <w:szCs w:val="20"/>
        </w:rPr>
        <w:t>s attention out of the presence and hearing of the jury and a favorable ruling received on the admissibility of such matters.</w:t>
      </w:r>
    </w:p>
    <w:p w:rsidR="005C26A8" w:rsidRPr="005C26A8" w:rsidRDefault="005C26A8" w:rsidP="004504AA">
      <w:pPr>
        <w:numPr>
          <w:ilvl w:val="0"/>
          <w:numId w:val="1"/>
        </w:numPr>
        <w:tabs>
          <w:tab w:val="left" w:pos="-720"/>
        </w:tabs>
        <w:overflowPunct w:val="0"/>
        <w:autoSpaceDE w:val="0"/>
        <w:autoSpaceDN w:val="0"/>
        <w:adjustRightInd w:val="0"/>
        <w:spacing w:after="0" w:line="360" w:lineRule="auto"/>
        <w:ind w:left="1260" w:hanging="54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Instruct the attorneys for </w:t>
      </w:r>
      <w:r w:rsidRPr="005C26A8">
        <w:rPr>
          <w:rFonts w:ascii="Times New Roman" w:eastAsia="Times New Roman" w:hAnsi="Times New Roman" w:cs="Times New Roman"/>
          <w:sz w:val="24"/>
          <w:szCs w:val="20"/>
        </w:rPr>
        <w:t xml:space="preserve">the Respondents </w:t>
      </w:r>
      <w:r w:rsidRPr="005C26A8">
        <w:rPr>
          <w:rFonts w:ascii="Times New Roman" w:eastAsia="Times New Roman" w:hAnsi="Times New Roman" w:cs="Times New Roman"/>
          <w:spacing w:val="-2"/>
          <w:sz w:val="24"/>
          <w:szCs w:val="20"/>
        </w:rPr>
        <w:t xml:space="preserve">to inform all witnesses called by the </w:t>
      </w:r>
      <w:r w:rsidRPr="005C26A8">
        <w:rPr>
          <w:rFonts w:ascii="Times New Roman" w:eastAsia="Times New Roman" w:hAnsi="Times New Roman" w:cs="Times New Roman"/>
          <w:sz w:val="24"/>
          <w:szCs w:val="20"/>
        </w:rPr>
        <w:t xml:space="preserve">Respondents </w:t>
      </w:r>
      <w:r w:rsidRPr="005C26A8">
        <w:rPr>
          <w:rFonts w:ascii="Times New Roman" w:eastAsia="Times New Roman" w:hAnsi="Times New Roman" w:cs="Times New Roman"/>
          <w:spacing w:val="-2"/>
          <w:sz w:val="24"/>
          <w:szCs w:val="20"/>
        </w:rPr>
        <w:t>to refrain from mentioning or referring to, in any way, in the presence or hearing of the jury, any of the matters set out below, unless specifically permitted to do so by ruling of the Court.</w:t>
      </w:r>
    </w:p>
    <w:p w:rsidR="005C26A8" w:rsidRPr="005C26A8" w:rsidRDefault="005C26A8" w:rsidP="004504AA">
      <w:pPr>
        <w:numPr>
          <w:ilvl w:val="0"/>
          <w:numId w:val="1"/>
        </w:numPr>
        <w:tabs>
          <w:tab w:val="left" w:pos="-720"/>
        </w:tabs>
        <w:overflowPunct w:val="0"/>
        <w:autoSpaceDE w:val="0"/>
        <w:autoSpaceDN w:val="0"/>
        <w:adjustRightInd w:val="0"/>
        <w:spacing w:after="0" w:line="360" w:lineRule="auto"/>
        <w:ind w:left="1260" w:hanging="54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Instruct the attorneys for the </w:t>
      </w:r>
      <w:bookmarkStart w:id="1" w:name="OLE_LINK1"/>
      <w:r w:rsidRPr="005C26A8">
        <w:rPr>
          <w:rFonts w:ascii="Times New Roman" w:eastAsia="Times New Roman" w:hAnsi="Times New Roman" w:cs="Times New Roman"/>
          <w:sz w:val="24"/>
          <w:szCs w:val="20"/>
        </w:rPr>
        <w:t>Respondents</w:t>
      </w:r>
      <w:bookmarkEnd w:id="1"/>
      <w:r w:rsidRPr="005C26A8">
        <w:rPr>
          <w:rFonts w:ascii="Times New Roman" w:eastAsia="Times New Roman" w:hAnsi="Times New Roman" w:cs="Times New Roman"/>
          <w:sz w:val="24"/>
          <w:szCs w:val="20"/>
        </w:rPr>
        <w:t xml:space="preserve"> </w:t>
      </w:r>
      <w:r w:rsidRPr="005C26A8">
        <w:rPr>
          <w:rFonts w:ascii="Times New Roman" w:eastAsia="Times New Roman" w:hAnsi="Times New Roman" w:cs="Times New Roman"/>
          <w:spacing w:val="-2"/>
          <w:sz w:val="24"/>
          <w:szCs w:val="20"/>
        </w:rPr>
        <w:t>that violation of any of these instructions may cause harm to the Department and deprive the Department of a fair and impartial trial, and the failure to abide by such instructions may constitute contempt of court.</w:t>
      </w:r>
    </w:p>
    <w:p w:rsidR="005C26A8" w:rsidRPr="005C26A8" w:rsidRDefault="005C26A8" w:rsidP="004504AA">
      <w:pPr>
        <w:tabs>
          <w:tab w:val="left" w:pos="-720"/>
        </w:tabs>
        <w:overflowPunct w:val="0"/>
        <w:autoSpaceDE w:val="0"/>
        <w:autoSpaceDN w:val="0"/>
        <w:adjustRightInd w:val="0"/>
        <w:spacing w:after="0" w:line="360" w:lineRule="auto"/>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ab/>
        <w:t>The matters prohibited are:</w:t>
      </w:r>
    </w:p>
    <w:p w:rsidR="004504AA" w:rsidRDefault="005C26A8" w:rsidP="004504AA">
      <w:pPr>
        <w:numPr>
          <w:ilvl w:val="0"/>
          <w:numId w:val="2"/>
        </w:numPr>
        <w:tabs>
          <w:tab w:val="left" w:pos="-720"/>
        </w:tabs>
        <w:overflowPunct w:val="0"/>
        <w:autoSpaceDE w:val="0"/>
        <w:autoSpaceDN w:val="0"/>
        <w:adjustRightInd w:val="0"/>
        <w:spacing w:after="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Testimony, objections, or argument suggesting or implying to the jury</w:t>
      </w:r>
      <w:proofErr w:type="gramStart"/>
      <w:r w:rsidRPr="005C26A8">
        <w:rPr>
          <w:rFonts w:ascii="Times New Roman" w:eastAsia="Times New Roman" w:hAnsi="Times New Roman" w:cs="Times New Roman"/>
          <w:spacing w:val="-2"/>
          <w:sz w:val="24"/>
          <w:szCs w:val="20"/>
        </w:rPr>
        <w:t>:</w:t>
      </w:r>
      <w:proofErr w:type="gramEnd"/>
      <w:r w:rsidRPr="005C26A8">
        <w:rPr>
          <w:rFonts w:ascii="Times New Roman" w:eastAsia="Times New Roman" w:hAnsi="Times New Roman" w:cs="Times New Roman"/>
          <w:spacing w:val="-2"/>
          <w:sz w:val="24"/>
          <w:szCs w:val="20"/>
        </w:rPr>
        <w:br/>
        <w:t>A)   That the Department has filed this Motion;</w:t>
      </w:r>
      <w:r w:rsidRPr="005C26A8">
        <w:rPr>
          <w:rFonts w:ascii="Times New Roman" w:eastAsia="Times New Roman" w:hAnsi="Times New Roman" w:cs="Times New Roman"/>
          <w:spacing w:val="-2"/>
          <w:sz w:val="24"/>
          <w:szCs w:val="20"/>
        </w:rPr>
        <w:br/>
        <w:t>B)   That the Court has made any ruling on this Motion;</w:t>
      </w:r>
      <w:r w:rsidRPr="005C26A8">
        <w:rPr>
          <w:rFonts w:ascii="Times New Roman" w:eastAsia="Times New Roman" w:hAnsi="Times New Roman" w:cs="Times New Roman"/>
          <w:spacing w:val="-2"/>
          <w:sz w:val="24"/>
          <w:szCs w:val="20"/>
        </w:rPr>
        <w:br/>
        <w:t xml:space="preserve">C)   That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xml:space="preserve"> have witnesses, evidence, or other information or proof that they are not being allowed to put before the jury; or</w:t>
      </w:r>
      <w:r w:rsidRPr="005C26A8">
        <w:rPr>
          <w:rFonts w:ascii="Times New Roman" w:eastAsia="Times New Roman" w:hAnsi="Times New Roman" w:cs="Times New Roman"/>
          <w:spacing w:val="-2"/>
          <w:sz w:val="24"/>
          <w:szCs w:val="20"/>
        </w:rPr>
        <w:br/>
        <w:t>D)   That the Department in any way has wrongfully or improperly moved to prohibit proof.</w:t>
      </w:r>
      <w:r w:rsidRPr="005C26A8">
        <w:rPr>
          <w:rFonts w:ascii="Times New Roman" w:eastAsia="Times New Roman" w:hAnsi="Times New Roman" w:cs="Times New Roman"/>
          <w:spacing w:val="-2"/>
          <w:sz w:val="24"/>
          <w:szCs w:val="20"/>
          <w:vertAlign w:val="superscript"/>
        </w:rPr>
        <w:endnoteReference w:id="1"/>
      </w:r>
    </w:p>
    <w:p w:rsidR="005C26A8" w:rsidRPr="005C26A8" w:rsidRDefault="005C26A8" w:rsidP="004504AA">
      <w:pPr>
        <w:tabs>
          <w:tab w:val="left" w:pos="-720"/>
        </w:tabs>
        <w:overflowPunct w:val="0"/>
        <w:autoSpaceDE w:val="0"/>
        <w:autoSpaceDN w:val="0"/>
        <w:adjustRightInd w:val="0"/>
        <w:spacing w:after="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lastRenderedPageBreak/>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Testimony, objections, or argument:</w:t>
      </w:r>
      <w:r w:rsidRPr="005C26A8">
        <w:rPr>
          <w:rFonts w:ascii="Times New Roman" w:eastAsia="Times New Roman" w:hAnsi="Times New Roman" w:cs="Times New Roman"/>
          <w:spacing w:val="-2"/>
          <w:sz w:val="24"/>
          <w:szCs w:val="20"/>
        </w:rPr>
        <w:br/>
        <w:t>A)   Suggesting or implying to the jury that any party has made offers to settle this suit out of court;</w:t>
      </w:r>
      <w:r w:rsidRPr="005C26A8">
        <w:rPr>
          <w:rFonts w:ascii="Times New Roman" w:eastAsia="Times New Roman" w:hAnsi="Times New Roman" w:cs="Times New Roman"/>
          <w:spacing w:val="-2"/>
          <w:sz w:val="24"/>
          <w:szCs w:val="20"/>
        </w:rPr>
        <w:br/>
        <w:t>B)   Suggesting or implying that the parties have attempted settlement negotiations or had discussions regarding settlement of this suit out of court; or</w:t>
      </w:r>
      <w:r w:rsidRPr="005C26A8">
        <w:rPr>
          <w:rFonts w:ascii="Times New Roman" w:eastAsia="Times New Roman" w:hAnsi="Times New Roman" w:cs="Times New Roman"/>
          <w:spacing w:val="-2"/>
          <w:sz w:val="24"/>
          <w:szCs w:val="20"/>
        </w:rPr>
        <w:br/>
        <w:t>C)   Referring to the specific content of any settlement negotiations.</w:t>
      </w:r>
      <w:r w:rsidRPr="005C26A8">
        <w:rPr>
          <w:rFonts w:ascii="Times New Roman" w:eastAsia="Times New Roman" w:hAnsi="Times New Roman" w:cs="Times New Roman"/>
          <w:spacing w:val="-2"/>
          <w:sz w:val="24"/>
          <w:szCs w:val="20"/>
          <w:vertAlign w:val="superscript"/>
        </w:rPr>
        <w:endnoteReference w:id="2"/>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Any attempt within the jury’s presence or hearing to seek from or request the Department to produce documents, to stipulate to any fact, or to make any agreement.</w:t>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Any testimony or argument suggesting or implying to the jury that any party has made attempts or requests outside the jury’s presence for the Department to produce documents, to stipulate to any fact, or to make any agreement.</w:t>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Any testimony, objections, or argument suggesting or implying to the jury</w:t>
      </w:r>
      <w:proofErr w:type="gramStart"/>
      <w:r w:rsidRPr="005C26A8">
        <w:rPr>
          <w:rFonts w:ascii="Times New Roman" w:eastAsia="Times New Roman" w:hAnsi="Times New Roman" w:cs="Times New Roman"/>
          <w:spacing w:val="-2"/>
          <w:sz w:val="24"/>
          <w:szCs w:val="20"/>
        </w:rPr>
        <w:t>:</w:t>
      </w:r>
      <w:proofErr w:type="gramEnd"/>
      <w:r w:rsidRPr="005C26A8">
        <w:rPr>
          <w:rFonts w:ascii="Times New Roman" w:eastAsia="Times New Roman" w:hAnsi="Times New Roman" w:cs="Times New Roman"/>
          <w:spacing w:val="-2"/>
          <w:sz w:val="24"/>
          <w:szCs w:val="20"/>
        </w:rPr>
        <w:br/>
        <w:t xml:space="preserve">A)   That the Department has failed to produce in response to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discovery requests documents that the Department is attempting to introduce into evidence; or</w:t>
      </w:r>
      <w:r w:rsidRPr="005C26A8">
        <w:rPr>
          <w:rFonts w:ascii="Times New Roman" w:eastAsia="Times New Roman" w:hAnsi="Times New Roman" w:cs="Times New Roman"/>
          <w:spacing w:val="-2"/>
          <w:sz w:val="24"/>
          <w:szCs w:val="20"/>
        </w:rPr>
        <w:br/>
        <w:t xml:space="preserve">B)   That the Department has failed to disclose any witness and/or the subject matter of any witness’s testimony in response to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discovery requests.</w:t>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Any attempt to introduce into evidence, or elicit testimony on, any document or tangible thing until counsel for the Department has the opportunity to view the document or tangible thing outside the presence of the jury.</w:t>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lastRenderedPageBreak/>
        <w:t>Testimony, objections, or argument regarding any:</w:t>
      </w:r>
      <w:r w:rsidRPr="005C26A8">
        <w:rPr>
          <w:rFonts w:ascii="Times New Roman" w:eastAsia="Times New Roman" w:hAnsi="Times New Roman" w:cs="Times New Roman"/>
          <w:spacing w:val="-2"/>
          <w:sz w:val="24"/>
          <w:szCs w:val="20"/>
        </w:rPr>
        <w:br/>
        <w:t>A)   Expert or fact witness not disclosed in response either to discovery requests by the Department or in accordance with any Scheduling Order signed by the Court;</w:t>
      </w:r>
      <w:r w:rsidRPr="005C26A8">
        <w:rPr>
          <w:rFonts w:ascii="Times New Roman" w:eastAsia="Times New Roman" w:hAnsi="Times New Roman" w:cs="Times New Roman"/>
          <w:spacing w:val="-2"/>
          <w:sz w:val="24"/>
          <w:szCs w:val="20"/>
        </w:rPr>
        <w:br/>
        <w:t>B)   Document or tangible thing not disclosed in response either to discovery requests by the Department or in accordance with any Scheduling Order signed by the Court; or</w:t>
      </w:r>
      <w:r w:rsidRPr="005C26A8">
        <w:rPr>
          <w:rFonts w:ascii="Times New Roman" w:eastAsia="Times New Roman" w:hAnsi="Times New Roman" w:cs="Times New Roman"/>
          <w:spacing w:val="-2"/>
          <w:sz w:val="24"/>
          <w:szCs w:val="20"/>
        </w:rPr>
        <w:br/>
        <w:t>C)   Legal theory or factual basis for a claim or defense not disclosed in response either to discovery requests by the Department or in accordance with any Scheduling Order signed by the Court.</w:t>
      </w:r>
      <w:r w:rsidRPr="005C26A8">
        <w:rPr>
          <w:rFonts w:ascii="Times New Roman" w:eastAsia="Times New Roman" w:hAnsi="Times New Roman" w:cs="Times New Roman"/>
          <w:spacing w:val="-2"/>
          <w:sz w:val="24"/>
          <w:szCs w:val="20"/>
          <w:vertAlign w:val="superscript"/>
        </w:rPr>
        <w:endnoteReference w:id="3"/>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Testimony, objections, or argument suggesting or implying to the jury that any statements made by the Department’s attorney concerning either the facts or applicable law are in any way “misstated,” “incorrect,” “improper”, or “misleading.”</w:t>
      </w:r>
      <w:r w:rsidRPr="005C26A8">
        <w:rPr>
          <w:rFonts w:ascii="Times New Roman" w:eastAsia="Times New Roman" w:hAnsi="Times New Roman" w:cs="Times New Roman"/>
          <w:spacing w:val="-2"/>
          <w:sz w:val="24"/>
          <w:szCs w:val="20"/>
          <w:vertAlign w:val="superscript"/>
        </w:rPr>
        <w:endnoteReference w:id="4"/>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Any argument, question, statement, comment, or observation from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counsel regarding</w:t>
      </w:r>
      <w:proofErr w:type="gramStart"/>
      <w:r w:rsidRPr="005C26A8">
        <w:rPr>
          <w:rFonts w:ascii="Times New Roman" w:eastAsia="Times New Roman" w:hAnsi="Times New Roman" w:cs="Times New Roman"/>
          <w:spacing w:val="-2"/>
          <w:sz w:val="24"/>
          <w:szCs w:val="20"/>
        </w:rPr>
        <w:t>:</w:t>
      </w:r>
      <w:proofErr w:type="gramEnd"/>
      <w:r w:rsidRPr="005C26A8">
        <w:rPr>
          <w:rFonts w:ascii="Times New Roman" w:eastAsia="Times New Roman" w:hAnsi="Times New Roman" w:cs="Times New Roman"/>
          <w:spacing w:val="-2"/>
          <w:sz w:val="24"/>
          <w:szCs w:val="20"/>
        </w:rPr>
        <w:br/>
        <w:t>A)   Counsel’s personal or professional history or background; or</w:t>
      </w:r>
      <w:r w:rsidRPr="005C26A8">
        <w:rPr>
          <w:rFonts w:ascii="Times New Roman" w:eastAsia="Times New Roman" w:hAnsi="Times New Roman" w:cs="Times New Roman"/>
          <w:spacing w:val="-2"/>
          <w:sz w:val="24"/>
          <w:szCs w:val="20"/>
        </w:rPr>
        <w:br/>
        <w:t>B)   The personal or professional history or background of the Department’s counsel.</w:t>
      </w:r>
      <w:r w:rsidRPr="005C26A8">
        <w:rPr>
          <w:rFonts w:ascii="Times New Roman" w:eastAsia="Times New Roman" w:hAnsi="Times New Roman" w:cs="Times New Roman"/>
          <w:spacing w:val="-2"/>
          <w:sz w:val="24"/>
          <w:szCs w:val="20"/>
          <w:vertAlign w:val="superscript"/>
        </w:rPr>
        <w:endnoteReference w:id="5"/>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Testimony, objections, or argument</w:t>
      </w:r>
      <w:proofErr w:type="gramStart"/>
      <w:r w:rsidRPr="005C26A8">
        <w:rPr>
          <w:rFonts w:ascii="Times New Roman" w:eastAsia="Times New Roman" w:hAnsi="Times New Roman" w:cs="Times New Roman"/>
          <w:spacing w:val="-2"/>
          <w:sz w:val="24"/>
          <w:szCs w:val="20"/>
        </w:rPr>
        <w:t>:</w:t>
      </w:r>
      <w:proofErr w:type="gramEnd"/>
      <w:r w:rsidRPr="005C26A8">
        <w:rPr>
          <w:rFonts w:ascii="Times New Roman" w:eastAsia="Times New Roman" w:hAnsi="Times New Roman" w:cs="Times New Roman"/>
          <w:spacing w:val="-2"/>
          <w:sz w:val="24"/>
          <w:szCs w:val="20"/>
        </w:rPr>
        <w:br/>
        <w:t>A)   Suggesting or implying to the jury that the Department failed to call a particular fact or expert witness;</w:t>
      </w:r>
      <w:r w:rsidRPr="005C26A8">
        <w:rPr>
          <w:rFonts w:ascii="Times New Roman" w:eastAsia="Times New Roman" w:hAnsi="Times New Roman" w:cs="Times New Roman"/>
          <w:spacing w:val="-2"/>
          <w:sz w:val="24"/>
          <w:szCs w:val="20"/>
        </w:rPr>
        <w:br/>
        <w:t>B)   Mentioning by name a specific fact or expert witness who does not testify at trial; or</w:t>
      </w:r>
      <w:r w:rsidRPr="005C26A8">
        <w:rPr>
          <w:rFonts w:ascii="Times New Roman" w:eastAsia="Times New Roman" w:hAnsi="Times New Roman" w:cs="Times New Roman"/>
          <w:spacing w:val="-2"/>
          <w:sz w:val="24"/>
          <w:szCs w:val="20"/>
        </w:rPr>
        <w:br/>
        <w:t>C)  Suggesting or implying to the jury what the testimony would have been from a particular fact or expert witness who did not testify at trial.</w:t>
      </w:r>
      <w:r w:rsidRPr="005C26A8">
        <w:rPr>
          <w:rFonts w:ascii="Times New Roman" w:eastAsia="Times New Roman" w:hAnsi="Times New Roman" w:cs="Times New Roman"/>
          <w:spacing w:val="-2"/>
          <w:sz w:val="24"/>
          <w:szCs w:val="20"/>
          <w:vertAlign w:val="superscript"/>
        </w:rPr>
        <w:endnoteReference w:id="6"/>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4504AA"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Any argument, question, statement, comment, or observation from counsel regarding any face-to-face, written, or telephone communications counsel may have had with any </w:t>
      </w:r>
      <w:r w:rsidRPr="005C26A8">
        <w:rPr>
          <w:rFonts w:ascii="Times New Roman" w:eastAsia="Times New Roman" w:hAnsi="Times New Roman" w:cs="Times New Roman"/>
          <w:spacing w:val="-2"/>
          <w:sz w:val="24"/>
          <w:szCs w:val="20"/>
        </w:rPr>
        <w:lastRenderedPageBreak/>
        <w:t>caseworker, supervisor, attorney, or other employee or agent of the Department, concerning the legal or factual issues of this case.</w:t>
      </w:r>
      <w:r w:rsidRPr="005C26A8">
        <w:rPr>
          <w:rFonts w:ascii="Times New Roman" w:eastAsia="Times New Roman" w:hAnsi="Times New Roman" w:cs="Times New Roman"/>
          <w:spacing w:val="-2"/>
          <w:sz w:val="24"/>
          <w:szCs w:val="20"/>
          <w:vertAlign w:val="superscript"/>
        </w:rPr>
        <w:endnoteReference w:id="7"/>
      </w:r>
    </w:p>
    <w:p w:rsidR="005C26A8" w:rsidRPr="005C26A8" w:rsidRDefault="005C26A8" w:rsidP="004504AA">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670F66"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Testimony, objections, or argument:</w:t>
      </w:r>
      <w:r w:rsidRPr="005C26A8">
        <w:rPr>
          <w:rFonts w:ascii="Times New Roman" w:eastAsia="Times New Roman" w:hAnsi="Times New Roman" w:cs="Times New Roman"/>
          <w:spacing w:val="-2"/>
          <w:sz w:val="24"/>
          <w:szCs w:val="20"/>
        </w:rPr>
        <w:br/>
        <w:t xml:space="preserve">A)   Inconsistent with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pleadings filed with the Court prior to the filing of this Motion; or</w:t>
      </w:r>
      <w:r w:rsidRPr="005C26A8">
        <w:rPr>
          <w:rFonts w:ascii="Times New Roman" w:eastAsia="Times New Roman" w:hAnsi="Times New Roman" w:cs="Times New Roman"/>
          <w:spacing w:val="-2"/>
          <w:sz w:val="24"/>
          <w:szCs w:val="20"/>
        </w:rPr>
        <w:br/>
        <w:t xml:space="preserve">B)   Referring to or regarding any alleged claims, affirmative defenses, or other issues or subject matter not expressly contained within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pleadings filed with the Court prior to the filing of this Motion.</w:t>
      </w:r>
      <w:r w:rsidRPr="005C26A8">
        <w:rPr>
          <w:rFonts w:ascii="Times New Roman" w:eastAsia="Times New Roman" w:hAnsi="Times New Roman" w:cs="Times New Roman"/>
          <w:spacing w:val="-2"/>
          <w:sz w:val="24"/>
          <w:szCs w:val="20"/>
          <w:vertAlign w:val="superscript"/>
        </w:rPr>
        <w:endnoteReference w:id="8"/>
      </w:r>
    </w:p>
    <w:p w:rsidR="005C26A8" w:rsidRPr="005C26A8" w:rsidRDefault="005C26A8" w:rsidP="00670F66">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670F66"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Testimony, objections, or argument suggesting or implying to the jury that the Department, or any employee or agent of the Department,</w:t>
      </w:r>
      <w:r w:rsidRPr="005C26A8">
        <w:rPr>
          <w:rFonts w:ascii="Times New Roman" w:eastAsia="Times New Roman" w:hAnsi="Times New Roman" w:cs="Times New Roman"/>
          <w:sz w:val="24"/>
          <w:szCs w:val="20"/>
        </w:rPr>
        <w:t xml:space="preserve"> may have deviated from federal law, state law, or the Department’s procedures, including</w:t>
      </w:r>
      <w:r w:rsidRPr="005C26A8">
        <w:rPr>
          <w:rFonts w:ascii="Times New Roman" w:eastAsia="Times New Roman" w:hAnsi="Times New Roman" w:cs="Times New Roman"/>
          <w:spacing w:val="-2"/>
          <w:sz w:val="24"/>
          <w:szCs w:val="20"/>
        </w:rPr>
        <w:t xml:space="preserve"> opinions from any “expert” witness concerning the current procedures and rules governing Child Protective Services.</w:t>
      </w:r>
      <w:r w:rsidRPr="005C26A8">
        <w:rPr>
          <w:rFonts w:ascii="Times New Roman" w:eastAsia="Times New Roman" w:hAnsi="Times New Roman" w:cs="Times New Roman"/>
          <w:spacing w:val="-2"/>
          <w:sz w:val="24"/>
          <w:szCs w:val="20"/>
          <w:vertAlign w:val="superscript"/>
        </w:rPr>
        <w:endnoteReference w:id="9"/>
      </w:r>
      <w:r w:rsidR="00670F66" w:rsidRPr="005C26A8">
        <w:rPr>
          <w:rFonts w:ascii="Times New Roman" w:eastAsia="Times New Roman" w:hAnsi="Times New Roman" w:cs="Times New Roman"/>
          <w:spacing w:val="-2"/>
          <w:sz w:val="24"/>
          <w:szCs w:val="20"/>
        </w:rPr>
        <w:t xml:space="preserve"> </w:t>
      </w:r>
    </w:p>
    <w:p w:rsidR="005C26A8" w:rsidRPr="005C26A8" w:rsidRDefault="005C26A8" w:rsidP="00670F66">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670F66"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Any opinion testimony from any “expert” witness unless and until the witness has been qualified as an expert, and counsel for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xml:space="preserve"> has properly established that the witness’s basis for his or her opinion is both relevant and reliable.</w:t>
      </w:r>
      <w:r w:rsidRPr="005C26A8">
        <w:rPr>
          <w:rFonts w:ascii="Times New Roman" w:eastAsia="Times New Roman" w:hAnsi="Times New Roman" w:cs="Times New Roman"/>
          <w:spacing w:val="-2"/>
          <w:sz w:val="24"/>
          <w:szCs w:val="20"/>
          <w:vertAlign w:val="superscript"/>
        </w:rPr>
        <w:endnoteReference w:id="10"/>
      </w:r>
    </w:p>
    <w:p w:rsidR="005C26A8" w:rsidRPr="005C26A8" w:rsidRDefault="005C26A8" w:rsidP="00670F66">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670F66" w:rsidRPr="00670F66"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mallCaps/>
          <w:spacing w:val="-2"/>
          <w:sz w:val="24"/>
          <w:szCs w:val="20"/>
        </w:rPr>
      </w:pPr>
      <w:r w:rsidRPr="005C26A8">
        <w:rPr>
          <w:rFonts w:ascii="Times New Roman" w:eastAsia="Times New Roman" w:hAnsi="Times New Roman" w:cs="Times New Roman"/>
          <w:spacing w:val="-2"/>
          <w:sz w:val="24"/>
          <w:szCs w:val="20"/>
        </w:rPr>
        <w:t xml:space="preserve">Any argument, question, statement, comment, or observation from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counsel that, by suggestion or implication either directly or indirectly brings into issue or otherwise questions the neutrality or impartiality of any expert witness appointed by the court.</w:t>
      </w:r>
      <w:r w:rsidRPr="005C26A8">
        <w:rPr>
          <w:rFonts w:ascii="Times New Roman" w:eastAsia="Times New Roman" w:hAnsi="Times New Roman" w:cs="Times New Roman"/>
          <w:spacing w:val="-2"/>
          <w:sz w:val="24"/>
          <w:szCs w:val="20"/>
          <w:vertAlign w:val="superscript"/>
        </w:rPr>
        <w:endnoteReference w:id="11"/>
      </w:r>
    </w:p>
    <w:p w:rsidR="005C26A8" w:rsidRPr="005C26A8" w:rsidRDefault="005C26A8" w:rsidP="00670F66">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mallCaps/>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670F66" w:rsidRDefault="005C26A8" w:rsidP="004504AA">
      <w:pPr>
        <w:numPr>
          <w:ilvl w:val="0"/>
          <w:numId w:val="2"/>
        </w:numPr>
        <w:tabs>
          <w:tab w:val="left" w:pos="-720"/>
        </w:tabs>
        <w:overflowPunct w:val="0"/>
        <w:autoSpaceDE w:val="0"/>
        <w:autoSpaceDN w:val="0"/>
        <w:adjustRightInd w:val="0"/>
        <w:spacing w:after="24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lastRenderedPageBreak/>
        <w:t xml:space="preserve">Any testimony or argument as to any “conversion experience” and/or commitment to Christianity by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xml:space="preserve">, or any other evidence or argument of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xml:space="preserve">’ beliefs or opinions on matters of religion for the purpose of enhancing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credibility.</w:t>
      </w:r>
      <w:r w:rsidRPr="005C26A8">
        <w:rPr>
          <w:rFonts w:ascii="Times New Roman" w:eastAsia="Times New Roman" w:hAnsi="Times New Roman" w:cs="Times New Roman"/>
          <w:spacing w:val="-2"/>
          <w:sz w:val="24"/>
          <w:szCs w:val="20"/>
          <w:vertAlign w:val="superscript"/>
        </w:rPr>
        <w:endnoteReference w:id="12"/>
      </w:r>
    </w:p>
    <w:p w:rsidR="005C26A8" w:rsidRPr="005C26A8" w:rsidRDefault="005C26A8" w:rsidP="00670F66">
      <w:pPr>
        <w:tabs>
          <w:tab w:val="left" w:pos="-720"/>
        </w:tabs>
        <w:overflowPunct w:val="0"/>
        <w:autoSpaceDE w:val="0"/>
        <w:autoSpaceDN w:val="0"/>
        <w:adjustRightInd w:val="0"/>
        <w:spacing w:after="240" w:line="360" w:lineRule="auto"/>
        <w:ind w:left="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670F66" w:rsidRDefault="005C26A8" w:rsidP="004504AA">
      <w:pPr>
        <w:overflowPunct w:val="0"/>
        <w:autoSpaceDE w:val="0"/>
        <w:autoSpaceDN w:val="0"/>
        <w:adjustRightInd w:val="0"/>
        <w:spacing w:after="0" w:line="360" w:lineRule="auto"/>
        <w:ind w:left="720" w:hanging="720"/>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17.</w:t>
      </w:r>
      <w:r w:rsidRPr="005C26A8">
        <w:rPr>
          <w:rFonts w:ascii="Times New Roman" w:eastAsia="Times New Roman" w:hAnsi="Times New Roman" w:cs="Times New Roman"/>
          <w:spacing w:val="-2"/>
          <w:sz w:val="24"/>
          <w:szCs w:val="20"/>
        </w:rPr>
        <w:tab/>
        <w:t xml:space="preserve">Any argument, question, statement, comment, or observation from the </w:t>
      </w:r>
      <w:r w:rsidRPr="005C26A8">
        <w:rPr>
          <w:rFonts w:ascii="Times New Roman" w:eastAsia="Times New Roman" w:hAnsi="Times New Roman" w:cs="Times New Roman"/>
          <w:sz w:val="24"/>
          <w:szCs w:val="20"/>
        </w:rPr>
        <w:t>Respondents</w:t>
      </w:r>
      <w:r w:rsidRPr="005C26A8">
        <w:rPr>
          <w:rFonts w:ascii="Times New Roman" w:eastAsia="Times New Roman" w:hAnsi="Times New Roman" w:cs="Times New Roman"/>
          <w:spacing w:val="-2"/>
          <w:sz w:val="24"/>
          <w:szCs w:val="20"/>
        </w:rPr>
        <w:t>’ counsel regarding:</w:t>
      </w:r>
      <w:r w:rsidRPr="005C26A8">
        <w:rPr>
          <w:rFonts w:ascii="Times New Roman" w:eastAsia="Times New Roman" w:hAnsi="Times New Roman" w:cs="Times New Roman"/>
          <w:spacing w:val="-2"/>
          <w:sz w:val="24"/>
          <w:szCs w:val="20"/>
        </w:rPr>
        <w:br/>
        <w:t>A)   Counsel’s local ties to the community, county, or region in which the trial is being conducted;</w:t>
      </w:r>
      <w:r w:rsidRPr="005C26A8">
        <w:rPr>
          <w:rFonts w:ascii="Times New Roman" w:eastAsia="Times New Roman" w:hAnsi="Times New Roman" w:cs="Times New Roman"/>
          <w:spacing w:val="-2"/>
          <w:sz w:val="24"/>
          <w:szCs w:val="20"/>
        </w:rPr>
        <w:br/>
        <w:t>B)   Any witness’s local ties to the community, county, or region in which the trial is being conducted;</w:t>
      </w:r>
      <w:r w:rsidRPr="005C26A8">
        <w:rPr>
          <w:rFonts w:ascii="Times New Roman" w:eastAsia="Times New Roman" w:hAnsi="Times New Roman" w:cs="Times New Roman"/>
          <w:spacing w:val="-2"/>
          <w:sz w:val="24"/>
          <w:szCs w:val="20"/>
        </w:rPr>
        <w:br/>
        <w:t>C)   Opposing counsel not having any local ties to the community, county, or region in which the trial is being conducted; or</w:t>
      </w:r>
      <w:r w:rsidRPr="005C26A8">
        <w:rPr>
          <w:rFonts w:ascii="Times New Roman" w:eastAsia="Times New Roman" w:hAnsi="Times New Roman" w:cs="Times New Roman"/>
          <w:spacing w:val="-2"/>
          <w:sz w:val="24"/>
          <w:szCs w:val="20"/>
        </w:rPr>
        <w:br/>
        <w:t>D)   Any witness not having any local ties to the community, county, or region in which the trial is being conducted.</w:t>
      </w:r>
      <w:r w:rsidRPr="005C26A8">
        <w:rPr>
          <w:rFonts w:ascii="Times New Roman" w:eastAsia="Times New Roman" w:hAnsi="Times New Roman" w:cs="Times New Roman"/>
          <w:spacing w:val="-2"/>
          <w:sz w:val="24"/>
          <w:szCs w:val="20"/>
          <w:vertAlign w:val="superscript"/>
        </w:rPr>
        <w:endnoteReference w:id="13"/>
      </w:r>
    </w:p>
    <w:p w:rsidR="005C26A8" w:rsidRPr="005C26A8" w:rsidRDefault="005C26A8" w:rsidP="00670F66">
      <w:pPr>
        <w:overflowPunct w:val="0"/>
        <w:autoSpaceDE w:val="0"/>
        <w:autoSpaceDN w:val="0"/>
        <w:adjustRightInd w:val="0"/>
        <w:spacing w:after="0" w:line="360" w:lineRule="auto"/>
        <w:ind w:left="720" w:hanging="720"/>
        <w:jc w:val="center"/>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GRANTED </w:t>
      </w:r>
      <w:r w:rsidRPr="005C26A8">
        <w:rPr>
          <w:rFonts w:ascii="Times New Roman" w:eastAsia="Times New Roman" w:hAnsi="Times New Roman" w:cs="Times New Roman"/>
          <w:spacing w:val="-2"/>
          <w:sz w:val="24"/>
          <w:szCs w:val="20"/>
        </w:rPr>
        <w:tab/>
      </w:r>
      <w:r w:rsidRPr="005C26A8">
        <w:rPr>
          <w:rFonts w:ascii="Times New Roman" w:eastAsia="Times New Roman" w:hAnsi="Times New Roman" w:cs="Times New Roman"/>
          <w:spacing w:val="-2"/>
          <w:sz w:val="24"/>
          <w:szCs w:val="20"/>
        </w:rPr>
        <w:tab/>
        <w:t>DENIED</w:t>
      </w:r>
    </w:p>
    <w:p w:rsidR="005C26A8" w:rsidRPr="005C26A8" w:rsidRDefault="005C26A8" w:rsidP="004504AA">
      <w:pPr>
        <w:tabs>
          <w:tab w:val="left" w:pos="-720"/>
        </w:tabs>
        <w:overflowPunct w:val="0"/>
        <w:autoSpaceDE w:val="0"/>
        <w:autoSpaceDN w:val="0"/>
        <w:adjustRightInd w:val="0"/>
        <w:spacing w:after="0" w:line="360" w:lineRule="auto"/>
        <w:rPr>
          <w:rFonts w:ascii="Times New Roman" w:eastAsia="Times New Roman" w:hAnsi="Times New Roman" w:cs="Times New Roman"/>
          <w:spacing w:val="-2"/>
          <w:sz w:val="24"/>
          <w:szCs w:val="20"/>
        </w:rPr>
      </w:pPr>
      <w:r w:rsidRPr="005C26A8">
        <w:rPr>
          <w:rFonts w:ascii="Times New Roman" w:eastAsia="Times New Roman" w:hAnsi="Times New Roman" w:cs="Times New Roman"/>
          <w:spacing w:val="-2"/>
          <w:sz w:val="24"/>
          <w:szCs w:val="20"/>
        </w:rPr>
        <w:t xml:space="preserve">The Department prays that the Court grant this Motion in </w:t>
      </w:r>
      <w:proofErr w:type="spellStart"/>
      <w:r w:rsidRPr="005C26A8">
        <w:rPr>
          <w:rFonts w:ascii="Times New Roman" w:eastAsia="Times New Roman" w:hAnsi="Times New Roman" w:cs="Times New Roman"/>
          <w:spacing w:val="-2"/>
          <w:sz w:val="24"/>
          <w:szCs w:val="20"/>
        </w:rPr>
        <w:t>Limine</w:t>
      </w:r>
      <w:proofErr w:type="spellEnd"/>
      <w:r w:rsidRPr="005C26A8">
        <w:rPr>
          <w:rFonts w:ascii="Times New Roman" w:eastAsia="Times New Roman" w:hAnsi="Times New Roman" w:cs="Times New Roman"/>
          <w:spacing w:val="-2"/>
          <w:sz w:val="24"/>
          <w:szCs w:val="20"/>
        </w:rPr>
        <w:t>.</w:t>
      </w:r>
    </w:p>
    <w:p w:rsidR="005C26A8" w:rsidRPr="005C26A8" w:rsidRDefault="005C26A8" w:rsidP="004504AA">
      <w:pPr>
        <w:overflowPunct w:val="0"/>
        <w:autoSpaceDE w:val="0"/>
        <w:autoSpaceDN w:val="0"/>
        <w:adjustRightInd w:val="0"/>
        <w:spacing w:after="0" w:line="240" w:lineRule="auto"/>
        <w:ind w:left="4320"/>
        <w:rPr>
          <w:rFonts w:ascii="Times New Roman" w:eastAsia="Times New Roman" w:hAnsi="Times New Roman" w:cs="Times New Roman"/>
          <w:bCs/>
          <w:sz w:val="26"/>
          <w:szCs w:val="20"/>
        </w:rPr>
      </w:pPr>
    </w:p>
    <w:p w:rsidR="005C26A8" w:rsidRPr="005C26A8" w:rsidRDefault="005C26A8" w:rsidP="004504AA">
      <w:pPr>
        <w:overflowPunct w:val="0"/>
        <w:autoSpaceDE w:val="0"/>
        <w:autoSpaceDN w:val="0"/>
        <w:adjustRightInd w:val="0"/>
        <w:spacing w:after="0" w:line="240" w:lineRule="auto"/>
        <w:ind w:left="4320"/>
        <w:rPr>
          <w:rFonts w:ascii="Times New Roman" w:eastAsia="Times New Roman" w:hAnsi="Times New Roman" w:cs="Times New Roman"/>
          <w:bCs/>
          <w:sz w:val="24"/>
          <w:szCs w:val="24"/>
        </w:rPr>
      </w:pPr>
      <w:r w:rsidRPr="005C26A8">
        <w:rPr>
          <w:rFonts w:ascii="Times New Roman" w:eastAsia="Times New Roman" w:hAnsi="Times New Roman" w:cs="Times New Roman"/>
          <w:bCs/>
          <w:sz w:val="24"/>
          <w:szCs w:val="24"/>
        </w:rPr>
        <w:t>Respectfully Submitted,</w:t>
      </w:r>
    </w:p>
    <w:p w:rsidR="005C26A8" w:rsidRPr="005C26A8" w:rsidRDefault="005C26A8" w:rsidP="004504AA">
      <w:pPr>
        <w:tabs>
          <w:tab w:val="right" w:pos="8640"/>
        </w:tabs>
        <w:overflowPunct w:val="0"/>
        <w:autoSpaceDE w:val="0"/>
        <w:autoSpaceDN w:val="0"/>
        <w:adjustRightInd w:val="0"/>
        <w:spacing w:after="0" w:line="240" w:lineRule="auto"/>
        <w:ind w:left="4320"/>
        <w:rPr>
          <w:rFonts w:ascii="Times New Roman" w:eastAsia="Times New Roman" w:hAnsi="Times New Roman" w:cs="Times New Roman"/>
          <w:bCs/>
          <w:sz w:val="24"/>
          <w:szCs w:val="24"/>
          <w:u w:val="single"/>
        </w:rPr>
      </w:pPr>
      <w:r w:rsidRPr="005C26A8">
        <w:rPr>
          <w:rFonts w:ascii="Times New Roman" w:eastAsia="Times New Roman" w:hAnsi="Times New Roman" w:cs="Times New Roman"/>
          <w:bCs/>
          <w:sz w:val="24"/>
          <w:szCs w:val="24"/>
          <w:u w:val="single"/>
        </w:rPr>
        <w:tab/>
      </w:r>
    </w:p>
    <w:p w:rsidR="005C26A8" w:rsidRPr="005C26A8" w:rsidRDefault="005C26A8" w:rsidP="004504AA">
      <w:pPr>
        <w:tabs>
          <w:tab w:val="right" w:pos="8640"/>
        </w:tabs>
        <w:overflowPunct w:val="0"/>
        <w:autoSpaceDE w:val="0"/>
        <w:autoSpaceDN w:val="0"/>
        <w:adjustRightInd w:val="0"/>
        <w:spacing w:after="0" w:line="240" w:lineRule="auto"/>
        <w:ind w:left="4320"/>
        <w:rPr>
          <w:rFonts w:ascii="Times New Roman" w:eastAsia="Times New Roman" w:hAnsi="Times New Roman" w:cs="Times New Roman"/>
          <w:bCs/>
          <w:sz w:val="24"/>
          <w:szCs w:val="24"/>
        </w:rPr>
      </w:pPr>
      <w:r w:rsidRPr="005C26A8">
        <w:rPr>
          <w:rFonts w:ascii="Times New Roman" w:eastAsia="Times New Roman" w:hAnsi="Times New Roman" w:cs="Times New Roman"/>
          <w:bCs/>
          <w:sz w:val="24"/>
          <w:szCs w:val="24"/>
        </w:rPr>
        <w:t>Attorney for Petitioner,</w:t>
      </w:r>
    </w:p>
    <w:p w:rsidR="005C26A8" w:rsidRPr="005C26A8" w:rsidRDefault="005C26A8" w:rsidP="004504AA">
      <w:pPr>
        <w:overflowPunct w:val="0"/>
        <w:autoSpaceDE w:val="0"/>
        <w:autoSpaceDN w:val="0"/>
        <w:adjustRightInd w:val="0"/>
        <w:spacing w:after="0" w:line="240" w:lineRule="auto"/>
        <w:rPr>
          <w:rFonts w:ascii="Times New Roman" w:eastAsia="Times New Roman" w:hAnsi="Times New Roman" w:cs="Times New Roman"/>
          <w:b/>
          <w:sz w:val="26"/>
          <w:szCs w:val="20"/>
        </w:rPr>
      </w:pPr>
    </w:p>
    <w:p w:rsidR="005C26A8" w:rsidRPr="005C26A8" w:rsidRDefault="005C26A8" w:rsidP="004504AA">
      <w:pPr>
        <w:overflowPunct w:val="0"/>
        <w:autoSpaceDE w:val="0"/>
        <w:autoSpaceDN w:val="0"/>
        <w:adjustRightInd w:val="0"/>
        <w:spacing w:after="0" w:line="240" w:lineRule="auto"/>
        <w:rPr>
          <w:rFonts w:ascii="Times New Roman" w:eastAsia="Times New Roman" w:hAnsi="Times New Roman" w:cs="Times New Roman"/>
          <w:b/>
          <w:sz w:val="26"/>
          <w:szCs w:val="20"/>
        </w:rPr>
      </w:pPr>
    </w:p>
    <w:p w:rsidR="005C26A8" w:rsidRPr="005C26A8" w:rsidRDefault="005C26A8" w:rsidP="004504AA">
      <w:pPr>
        <w:overflowPunct w:val="0"/>
        <w:autoSpaceDE w:val="0"/>
        <w:autoSpaceDN w:val="0"/>
        <w:adjustRightInd w:val="0"/>
        <w:spacing w:after="0" w:line="240" w:lineRule="auto"/>
        <w:rPr>
          <w:rFonts w:ascii="Times New Roman" w:eastAsia="Times New Roman" w:hAnsi="Times New Roman" w:cs="Times New Roman"/>
          <w:b/>
          <w:sz w:val="26"/>
          <w:szCs w:val="20"/>
        </w:rPr>
      </w:pPr>
      <w:r w:rsidRPr="005C26A8">
        <w:rPr>
          <w:rFonts w:ascii="Times New Roman" w:eastAsia="Times New Roman" w:hAnsi="Times New Roman" w:cs="Times New Roman"/>
          <w:b/>
          <w:sz w:val="26"/>
          <w:szCs w:val="20"/>
        </w:rPr>
        <w:t>CERTIFICATE OF SERVICE</w:t>
      </w:r>
    </w:p>
    <w:p w:rsidR="005C26A8" w:rsidRPr="005C26A8" w:rsidRDefault="005C26A8" w:rsidP="004504AA">
      <w:pPr>
        <w:overflowPunct w:val="0"/>
        <w:autoSpaceDE w:val="0"/>
        <w:autoSpaceDN w:val="0"/>
        <w:adjustRightInd w:val="0"/>
        <w:spacing w:after="0" w:line="240" w:lineRule="auto"/>
        <w:rPr>
          <w:rFonts w:ascii="Times New Roman" w:eastAsia="Times New Roman" w:hAnsi="Times New Roman" w:cs="Times New Roman"/>
          <w:sz w:val="26"/>
          <w:szCs w:val="20"/>
        </w:rPr>
      </w:pPr>
    </w:p>
    <w:p w:rsidR="005C26A8" w:rsidRPr="005C26A8" w:rsidRDefault="005C26A8" w:rsidP="004504AA">
      <w:pPr>
        <w:autoSpaceDN w:val="0"/>
        <w:spacing w:after="0" w:line="240" w:lineRule="auto"/>
        <w:rPr>
          <w:rFonts w:ascii="Times New Roman" w:eastAsia="Times New Roman" w:hAnsi="Times New Roman" w:cs="Times New Roman"/>
          <w:sz w:val="24"/>
          <w:szCs w:val="24"/>
        </w:rPr>
      </w:pPr>
      <w:r w:rsidRPr="005C26A8">
        <w:rPr>
          <w:rFonts w:ascii="Times New Roman" w:eastAsia="Times New Roman" w:hAnsi="Times New Roman" w:cs="Times New Roman"/>
          <w:sz w:val="26"/>
          <w:szCs w:val="20"/>
        </w:rPr>
        <w:tab/>
      </w:r>
      <w:r w:rsidRPr="005C26A8">
        <w:rPr>
          <w:rFonts w:ascii="Times New Roman" w:eastAsia="Times New Roman" w:hAnsi="Times New Roman" w:cs="Times New Roman"/>
          <w:sz w:val="24"/>
          <w:szCs w:val="24"/>
        </w:rPr>
        <w:t>I certify that a true and correct copy of the foregoing has been delivered via the method indicated to the following individuals and/or parties on ____________.</w:t>
      </w:r>
    </w:p>
    <w:p w:rsidR="005C26A8" w:rsidRPr="005C26A8" w:rsidRDefault="005C26A8" w:rsidP="004504AA">
      <w:pPr>
        <w:overflowPunct w:val="0"/>
        <w:autoSpaceDE w:val="0"/>
        <w:autoSpaceDN w:val="0"/>
        <w:adjustRightInd w:val="0"/>
        <w:spacing w:after="0" w:line="240" w:lineRule="auto"/>
        <w:rPr>
          <w:rFonts w:ascii="Times New Roman" w:eastAsia="Times New Roman" w:hAnsi="Times New Roman" w:cs="Times New Roman"/>
          <w:sz w:val="26"/>
          <w:szCs w:val="20"/>
        </w:rPr>
      </w:pPr>
    </w:p>
    <w:p w:rsidR="005C26A8" w:rsidRPr="005C26A8" w:rsidRDefault="005C26A8" w:rsidP="004504AA">
      <w:pPr>
        <w:overflowPunct w:val="0"/>
        <w:autoSpaceDE w:val="0"/>
        <w:autoSpaceDN w:val="0"/>
        <w:adjustRightInd w:val="0"/>
        <w:spacing w:after="0" w:line="240" w:lineRule="auto"/>
        <w:ind w:left="5760"/>
        <w:rPr>
          <w:rFonts w:ascii="Times New Roman" w:eastAsia="Times New Roman" w:hAnsi="Times New Roman" w:cs="Times New Roman"/>
          <w:sz w:val="24"/>
          <w:szCs w:val="24"/>
        </w:rPr>
      </w:pPr>
      <w:r w:rsidRPr="005C26A8">
        <w:rPr>
          <w:rFonts w:ascii="Times New Roman" w:eastAsia="Times New Roman" w:hAnsi="Times New Roman" w:cs="Times New Roman"/>
          <w:sz w:val="24"/>
          <w:szCs w:val="24"/>
        </w:rPr>
        <w:t>___________________________</w:t>
      </w:r>
    </w:p>
    <w:p w:rsidR="005C26A8" w:rsidRPr="005C26A8" w:rsidRDefault="005C26A8" w:rsidP="004504AA">
      <w:pPr>
        <w:overflowPunct w:val="0"/>
        <w:autoSpaceDE w:val="0"/>
        <w:autoSpaceDN w:val="0"/>
        <w:adjustRightInd w:val="0"/>
        <w:spacing w:after="0" w:line="240" w:lineRule="auto"/>
        <w:ind w:left="5760"/>
        <w:rPr>
          <w:rFonts w:ascii="Times New Roman" w:eastAsia="Times New Roman" w:hAnsi="Times New Roman" w:cs="Times New Roman"/>
          <w:sz w:val="24"/>
          <w:szCs w:val="24"/>
        </w:rPr>
      </w:pPr>
      <w:r w:rsidRPr="005C26A8">
        <w:rPr>
          <w:rFonts w:ascii="Times New Roman" w:eastAsia="Times New Roman" w:hAnsi="Times New Roman" w:cs="Times New Roman"/>
          <w:sz w:val="24"/>
          <w:szCs w:val="24"/>
        </w:rPr>
        <w:t>Attorney for the Petitioner</w:t>
      </w:r>
    </w:p>
    <w:p w:rsidR="005C26A8" w:rsidRPr="005C26A8" w:rsidRDefault="005C26A8" w:rsidP="004504AA">
      <w:pPr>
        <w:overflowPunct w:val="0"/>
        <w:autoSpaceDE w:val="0"/>
        <w:autoSpaceDN w:val="0"/>
        <w:adjustRightInd w:val="0"/>
        <w:spacing w:after="0" w:line="240" w:lineRule="auto"/>
        <w:rPr>
          <w:rFonts w:ascii="Times New Roman" w:eastAsia="Times New Roman" w:hAnsi="Times New Roman" w:cs="Times New Roman"/>
          <w:sz w:val="24"/>
          <w:szCs w:val="24"/>
        </w:rPr>
      </w:pPr>
    </w:p>
    <w:p w:rsidR="005C26A8" w:rsidRPr="005C26A8" w:rsidRDefault="005C26A8" w:rsidP="004504AA">
      <w:pPr>
        <w:overflowPunct w:val="0"/>
        <w:autoSpaceDE w:val="0"/>
        <w:autoSpaceDN w:val="0"/>
        <w:adjustRightInd w:val="0"/>
        <w:spacing w:after="0" w:line="240" w:lineRule="auto"/>
        <w:rPr>
          <w:rFonts w:ascii="Times New Roman" w:eastAsia="Times New Roman" w:hAnsi="Times New Roman" w:cs="Times New Roman"/>
          <w:sz w:val="24"/>
          <w:szCs w:val="24"/>
        </w:rPr>
      </w:pPr>
    </w:p>
    <w:p w:rsidR="005C26A8" w:rsidRPr="005C26A8" w:rsidRDefault="005C26A8" w:rsidP="004504AA">
      <w:pPr>
        <w:overflowPunct w:val="0"/>
        <w:autoSpaceDE w:val="0"/>
        <w:autoSpaceDN w:val="0"/>
        <w:adjustRightInd w:val="0"/>
        <w:spacing w:after="0" w:line="240" w:lineRule="auto"/>
        <w:rPr>
          <w:rFonts w:ascii="Times New Roman" w:eastAsia="Times New Roman" w:hAnsi="Times New Roman" w:cs="Times New Roman"/>
          <w:sz w:val="24"/>
          <w:szCs w:val="24"/>
        </w:rPr>
      </w:pPr>
      <w:r w:rsidRPr="005C26A8">
        <w:rPr>
          <w:rFonts w:ascii="Times New Roman" w:eastAsia="Times New Roman" w:hAnsi="Times New Roman" w:cs="Times New Roman"/>
          <w:sz w:val="24"/>
          <w:szCs w:val="24"/>
        </w:rPr>
        <w:t xml:space="preserve">The following endnotes provide research and authority for some of the individual items in the Sample Motion in </w:t>
      </w:r>
      <w:proofErr w:type="spellStart"/>
      <w:r w:rsidRPr="005C26A8">
        <w:rPr>
          <w:rFonts w:ascii="Times New Roman" w:eastAsia="Times New Roman" w:hAnsi="Times New Roman" w:cs="Times New Roman"/>
          <w:sz w:val="24"/>
          <w:szCs w:val="24"/>
        </w:rPr>
        <w:t>Limine</w:t>
      </w:r>
      <w:proofErr w:type="spellEnd"/>
    </w:p>
    <w:p w:rsidR="00356CF4" w:rsidRPr="008F249E" w:rsidRDefault="00356CF4" w:rsidP="004504AA"/>
    <w:sectPr w:rsidR="00356CF4" w:rsidRPr="008F24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6A8" w:rsidRDefault="005C26A8" w:rsidP="005C26A8">
      <w:pPr>
        <w:spacing w:after="0" w:line="240" w:lineRule="auto"/>
      </w:pPr>
      <w:r>
        <w:separator/>
      </w:r>
    </w:p>
  </w:endnote>
  <w:endnote w:type="continuationSeparator" w:id="0">
    <w:p w:rsidR="005C26A8" w:rsidRDefault="005C26A8" w:rsidP="005C26A8">
      <w:pPr>
        <w:spacing w:after="0" w:line="240" w:lineRule="auto"/>
      </w:pPr>
      <w:r>
        <w:continuationSeparator/>
      </w:r>
    </w:p>
  </w:endnote>
  <w:endnote w:id="1">
    <w:p w:rsidR="005C26A8" w:rsidRDefault="005C26A8" w:rsidP="00670F66">
      <w:pPr>
        <w:pStyle w:val="Subtitle"/>
        <w:rPr>
          <w:rFonts w:ascii="Courier New" w:hAnsi="Courier New"/>
        </w:rPr>
      </w:pPr>
      <w:r>
        <w:rPr>
          <w:rStyle w:val="EndnoteReference"/>
        </w:rPr>
        <w:endnoteRef/>
      </w:r>
      <w:r>
        <w:t xml:space="preserve"> </w:t>
      </w:r>
      <w:r>
        <w:rPr>
          <w:b/>
        </w:rPr>
        <w:t xml:space="preserve">Authority:  </w:t>
      </w:r>
      <w:r w:rsidRPr="004504AA">
        <w:rPr>
          <w:rStyle w:val="SubtitleChar"/>
        </w:rPr>
        <w:t xml:space="preserve">The purpose of a motion in </w:t>
      </w:r>
      <w:proofErr w:type="spellStart"/>
      <w:r w:rsidRPr="004504AA">
        <w:rPr>
          <w:rStyle w:val="SubtitleChar"/>
        </w:rPr>
        <w:t>limine</w:t>
      </w:r>
      <w:proofErr w:type="spellEnd"/>
      <w:r w:rsidRPr="004504AA">
        <w:rPr>
          <w:rStyle w:val="SubtitleChar"/>
        </w:rPr>
        <w:t xml:space="preserve"> is to prevent the jury from being exposed to potentially prejudicial information before a ruling on admissibility can be obtained</w:t>
      </w:r>
      <w:r>
        <w:t xml:space="preserve">.  </w:t>
      </w:r>
      <w:proofErr w:type="gramStart"/>
      <w:r>
        <w:rPr>
          <w:i/>
        </w:rPr>
        <w:t xml:space="preserve">Hartford Acc. &amp; </w:t>
      </w:r>
      <w:proofErr w:type="spellStart"/>
      <w:r>
        <w:rPr>
          <w:i/>
        </w:rPr>
        <w:t>Indem</w:t>
      </w:r>
      <w:proofErr w:type="spellEnd"/>
      <w:r>
        <w:rPr>
          <w:i/>
        </w:rPr>
        <w:t>.</w:t>
      </w:r>
      <w:proofErr w:type="gramEnd"/>
      <w:r>
        <w:rPr>
          <w:i/>
        </w:rPr>
        <w:t xml:space="preserve"> </w:t>
      </w:r>
      <w:proofErr w:type="gramStart"/>
      <w:r>
        <w:rPr>
          <w:i/>
        </w:rPr>
        <w:t xml:space="preserve">Co. v. </w:t>
      </w:r>
      <w:proofErr w:type="spellStart"/>
      <w:r>
        <w:rPr>
          <w:i/>
        </w:rPr>
        <w:t>McCardell</w:t>
      </w:r>
      <w:proofErr w:type="spellEnd"/>
      <w:r>
        <w:t>, 369 S.W.2d 331,335 (Tex. 1963) and to</w:t>
      </w:r>
      <w:r>
        <w:rPr>
          <w:i/>
        </w:rPr>
        <w:t xml:space="preserve"> </w:t>
      </w:r>
      <w:r>
        <w:t>avoid the injection into trial of matters that are irrelevant, inadmissible, and prejudicial.</w:t>
      </w:r>
      <w:proofErr w:type="gramEnd"/>
      <w:r>
        <w:t xml:space="preserve">  </w:t>
      </w:r>
      <w:proofErr w:type="gramStart"/>
      <w:r>
        <w:rPr>
          <w:i/>
        </w:rPr>
        <w:t xml:space="preserve">Wilkins v. Royal </w:t>
      </w:r>
      <w:proofErr w:type="spellStart"/>
      <w:r>
        <w:rPr>
          <w:i/>
        </w:rPr>
        <w:t>Indem</w:t>
      </w:r>
      <w:proofErr w:type="spellEnd"/>
      <w:r>
        <w:rPr>
          <w:i/>
        </w:rPr>
        <w:t>.</w:t>
      </w:r>
      <w:proofErr w:type="gramEnd"/>
      <w:r>
        <w:rPr>
          <w:i/>
        </w:rPr>
        <w:t xml:space="preserve"> Co. 592 S.W.2d 64</w:t>
      </w:r>
      <w:proofErr w:type="gramStart"/>
      <w:r>
        <w:rPr>
          <w:i/>
        </w:rPr>
        <w:t>,66</w:t>
      </w:r>
      <w:proofErr w:type="gramEnd"/>
      <w:r>
        <w:t xml:space="preserve"> (Tex. Civ. App.–Tyler 1979, no writ).  Attorneys should not comment on matters in violation of a court’s order </w:t>
      </w:r>
      <w:r>
        <w:rPr>
          <w:i/>
        </w:rPr>
        <w:t xml:space="preserve">in </w:t>
      </w:r>
      <w:proofErr w:type="spellStart"/>
      <w:r>
        <w:rPr>
          <w:i/>
        </w:rPr>
        <w:t>limine</w:t>
      </w:r>
      <w:proofErr w:type="spellEnd"/>
      <w:r>
        <w:t xml:space="preserve">.  </w:t>
      </w:r>
      <w:r>
        <w:rPr>
          <w:i/>
        </w:rPr>
        <w:t xml:space="preserve">Nat’l </w:t>
      </w:r>
      <w:proofErr w:type="gramStart"/>
      <w:r>
        <w:rPr>
          <w:i/>
        </w:rPr>
        <w:t>Un</w:t>
      </w:r>
      <w:proofErr w:type="gramEnd"/>
      <w:r>
        <w:rPr>
          <w:i/>
        </w:rPr>
        <w:t xml:space="preserve">. </w:t>
      </w:r>
      <w:proofErr w:type="gramStart"/>
      <w:r>
        <w:rPr>
          <w:i/>
        </w:rPr>
        <w:t>Fire Ins. Co. v. Kwiatkowski</w:t>
      </w:r>
      <w:r>
        <w:t>, 915 S.W.2d 662, 664 (Tex. App.–Houston [14th Dist.] 1996, no writ).</w:t>
      </w:r>
      <w:proofErr w:type="gramEnd"/>
      <w:r>
        <w:t xml:space="preserve">  Any attempt by counsel, either by suggestion, by wording of a question, or by indirection, to present to the jury that any matter has been excluded not only is error, but also is a violation of professional standards and of counsel’s duty to the court.  </w:t>
      </w:r>
      <w:proofErr w:type="spellStart"/>
      <w:proofErr w:type="gramStart"/>
      <w:r>
        <w:rPr>
          <w:i/>
        </w:rPr>
        <w:t>Kendrix</w:t>
      </w:r>
      <w:proofErr w:type="spellEnd"/>
      <w:r>
        <w:rPr>
          <w:i/>
        </w:rPr>
        <w:t xml:space="preserve"> v. Southern Pacific Transp. Co.</w:t>
      </w:r>
      <w:r>
        <w:t xml:space="preserve">, 907 S.W.2d 111, 114 (Tex. App.–Beaumont 1995, writ denied); </w:t>
      </w:r>
      <w:r>
        <w:rPr>
          <w:i/>
        </w:rPr>
        <w:t>Burdick v. York Oil Co.</w:t>
      </w:r>
      <w:r>
        <w:t xml:space="preserve">, 364 S.W.2d 766, 770 (Tex. Civ. App.–San Antonio 1963, writ </w:t>
      </w:r>
      <w:proofErr w:type="spellStart"/>
      <w:r>
        <w:t>ref’d</w:t>
      </w:r>
      <w:proofErr w:type="spellEnd"/>
      <w:r>
        <w:t xml:space="preserve"> </w:t>
      </w:r>
      <w:proofErr w:type="spellStart"/>
      <w:r>
        <w:t>n.r.e</w:t>
      </w:r>
      <w:proofErr w:type="spellEnd"/>
      <w:r>
        <w:t>.).</w:t>
      </w:r>
      <w:proofErr w:type="gramEnd"/>
    </w:p>
  </w:endnote>
  <w:endnote w:id="2">
    <w:p w:rsidR="004504AA" w:rsidRDefault="005C26A8" w:rsidP="005C26A8">
      <w:pPr>
        <w:pStyle w:val="EndnoteText"/>
        <w:rPr>
          <w:rFonts w:ascii="Times New Roman" w:hAnsi="Times New Roman"/>
          <w:spacing w:val="-2"/>
        </w:rPr>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 xml:space="preserve">Evidence of offers to compromise is not admissible.  Rule 408, </w:t>
      </w:r>
      <w:smartTag w:uri="urn:schemas-microsoft-com:office:smarttags" w:element="place">
        <w:smartTag w:uri="urn:schemas-microsoft-com:office:smarttags" w:element="State">
          <w:r>
            <w:rPr>
              <w:rFonts w:ascii="Times New Roman" w:hAnsi="Times New Roman"/>
              <w:smallCaps/>
              <w:spacing w:val="-2"/>
            </w:rPr>
            <w:t>Texas</w:t>
          </w:r>
        </w:smartTag>
      </w:smartTag>
      <w:r>
        <w:rPr>
          <w:rFonts w:ascii="Times New Roman" w:hAnsi="Times New Roman"/>
          <w:smallCaps/>
          <w:spacing w:val="-2"/>
        </w:rPr>
        <w:t xml:space="preserve"> Rules of Evidence</w:t>
      </w:r>
      <w:r>
        <w:rPr>
          <w:rFonts w:ascii="Times New Roman" w:hAnsi="Times New Roman"/>
          <w:spacing w:val="-2"/>
        </w:rPr>
        <w:t xml:space="preserve">.  An offer of settlement or compromise “implies merely a desire for peace, not a concession of wrong done.”  </w:t>
      </w:r>
      <w:proofErr w:type="gramStart"/>
      <w:r>
        <w:rPr>
          <w:rFonts w:ascii="Times New Roman" w:hAnsi="Times New Roman"/>
          <w:spacing w:val="-2"/>
        </w:rPr>
        <w:t xml:space="preserve">1 </w:t>
      </w:r>
      <w:r>
        <w:rPr>
          <w:rFonts w:ascii="Times New Roman" w:hAnsi="Times New Roman"/>
          <w:smallCaps/>
          <w:spacing w:val="-2"/>
        </w:rPr>
        <w:t xml:space="preserve">John H. </w:t>
      </w:r>
      <w:proofErr w:type="spellStart"/>
      <w:r>
        <w:rPr>
          <w:rFonts w:ascii="Times New Roman" w:hAnsi="Times New Roman"/>
          <w:smallCaps/>
          <w:spacing w:val="-2"/>
        </w:rPr>
        <w:t>Wigmore</w:t>
      </w:r>
      <w:proofErr w:type="spellEnd"/>
      <w:r>
        <w:rPr>
          <w:rFonts w:ascii="Times New Roman" w:hAnsi="Times New Roman"/>
          <w:smallCaps/>
          <w:spacing w:val="-2"/>
        </w:rPr>
        <w:t>, A Treatise on the Anglo-American System of Evidence in Trials at Common Law</w:t>
      </w:r>
      <w:r>
        <w:rPr>
          <w:rFonts w:ascii="Times New Roman" w:hAnsi="Times New Roman"/>
          <w:spacing w:val="-2"/>
        </w:rPr>
        <w:t xml:space="preserve"> </w:t>
      </w:r>
      <w:r>
        <w:rPr>
          <w:rFonts w:ascii="Times New Roman" w:hAnsi="Times New Roman"/>
        </w:rPr>
        <w:t>§ 1061, at 36 (3d ed. 1940).</w:t>
      </w:r>
      <w:proofErr w:type="gramEnd"/>
      <w:r>
        <w:rPr>
          <w:rFonts w:ascii="Times New Roman" w:hAnsi="Times New Roman"/>
        </w:rPr>
        <w:t xml:space="preserve"> </w:t>
      </w:r>
      <w:r>
        <w:rPr>
          <w:rFonts w:ascii="Times New Roman" w:hAnsi="Times New Roman"/>
          <w:spacing w:val="-2"/>
        </w:rPr>
        <w:t xml:space="preserve"> Rule 408 is premised “primarily on the notion that without this protection parties would be deterred from entering into settlement discussions with their opponents.”  </w:t>
      </w:r>
      <w:r>
        <w:rPr>
          <w:rFonts w:ascii="Times New Roman" w:hAnsi="Times New Roman"/>
          <w:smallCaps/>
          <w:spacing w:val="-2"/>
        </w:rPr>
        <w:t xml:space="preserve">Steven Goode, Olin Guy Wellborn, III, &amp; M. Michael </w:t>
      </w:r>
      <w:proofErr w:type="spellStart"/>
      <w:r>
        <w:rPr>
          <w:rFonts w:ascii="Times New Roman" w:hAnsi="Times New Roman"/>
          <w:smallCaps/>
          <w:spacing w:val="-2"/>
        </w:rPr>
        <w:t>Sharlot</w:t>
      </w:r>
      <w:proofErr w:type="spellEnd"/>
      <w:r>
        <w:rPr>
          <w:rFonts w:ascii="Times New Roman" w:hAnsi="Times New Roman"/>
          <w:smallCaps/>
          <w:spacing w:val="-2"/>
        </w:rPr>
        <w:t>, Texas Practice:  Courtroom Handbook on Texas Evidence</w:t>
      </w:r>
      <w:r>
        <w:rPr>
          <w:rFonts w:ascii="Times New Roman" w:hAnsi="Times New Roman"/>
          <w:spacing w:val="-2"/>
        </w:rPr>
        <w:t xml:space="preserve">, </w:t>
      </w:r>
      <w:r>
        <w:rPr>
          <w:rFonts w:ascii="Times New Roman" w:hAnsi="Times New Roman"/>
          <w:i/>
          <w:spacing w:val="-2"/>
        </w:rPr>
        <w:t>Relevancy and Its Limits</w:t>
      </w:r>
      <w:r>
        <w:rPr>
          <w:rFonts w:ascii="Times New Roman" w:hAnsi="Times New Roman"/>
          <w:spacing w:val="-2"/>
        </w:rPr>
        <w:t>, at 280 (1997).</w:t>
      </w:r>
    </w:p>
    <w:p w:rsidR="005C26A8" w:rsidRDefault="005C26A8" w:rsidP="004504AA">
      <w:pPr>
        <w:pStyle w:val="EndnoteText"/>
        <w:ind w:firstLine="720"/>
      </w:pPr>
      <w:r>
        <w:rPr>
          <w:rFonts w:ascii="Times New Roman" w:hAnsi="Times New Roman"/>
        </w:rPr>
        <w:t xml:space="preserve">Evidence of conduct or statements made in compromise negotiations is not admissible.  Rule </w:t>
      </w:r>
      <w:r>
        <w:rPr>
          <w:rFonts w:ascii="Times New Roman" w:hAnsi="Times New Roman"/>
          <w:spacing w:val="-2"/>
        </w:rPr>
        <w:t xml:space="preserve">408, </w:t>
      </w:r>
      <w:smartTag w:uri="urn:schemas-microsoft-com:office:smarttags" w:element="place">
        <w:smartTag w:uri="urn:schemas-microsoft-com:office:smarttags" w:element="State">
          <w:r>
            <w:rPr>
              <w:rFonts w:ascii="Times New Roman" w:hAnsi="Times New Roman"/>
              <w:smallCaps/>
              <w:spacing w:val="-2"/>
            </w:rPr>
            <w:t>Texas</w:t>
          </w:r>
        </w:smartTag>
      </w:smartTag>
      <w:r>
        <w:rPr>
          <w:rFonts w:ascii="Times New Roman" w:hAnsi="Times New Roman"/>
          <w:smallCaps/>
          <w:spacing w:val="-2"/>
        </w:rPr>
        <w:t xml:space="preserve"> Rules of Evidence.</w:t>
      </w:r>
    </w:p>
  </w:endnote>
  <w:endnote w:id="3">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 xml:space="preserve">Any material or information not timely disclosed may not be introduced into evidence unless the trial court finds that good cause sufficient to require admission exists.  Rule 193.6, </w:t>
      </w:r>
      <w:smartTag w:uri="urn:schemas-microsoft-com:office:smarttags" w:element="place">
        <w:smartTag w:uri="urn:schemas-microsoft-com:office:smarttags" w:element="State">
          <w:r>
            <w:rPr>
              <w:rFonts w:ascii="Times New Roman" w:hAnsi="Times New Roman"/>
              <w:smallCaps/>
              <w:spacing w:val="-2"/>
            </w:rPr>
            <w:t>Texas</w:t>
          </w:r>
        </w:smartTag>
      </w:smartTag>
      <w:r>
        <w:rPr>
          <w:rFonts w:ascii="Times New Roman" w:hAnsi="Times New Roman"/>
          <w:smallCaps/>
          <w:spacing w:val="-2"/>
        </w:rPr>
        <w:t xml:space="preserve"> Rules of Civil Procedure. </w:t>
      </w:r>
      <w:r>
        <w:rPr>
          <w:rFonts w:ascii="Times New Roman" w:hAnsi="Times New Roman"/>
          <w:spacing w:val="-2"/>
        </w:rPr>
        <w:t xml:space="preserve"> Inadvertence of counsel; lack of surprise, unfairness, or ambush; uniqueness of the excluded evidence; and the fact that a witness has been deposed, are factors to be considered but, considered alone, do not constitute good cause.  </w:t>
      </w:r>
      <w:proofErr w:type="gramStart"/>
      <w:r>
        <w:rPr>
          <w:rFonts w:ascii="Times New Roman" w:hAnsi="Times New Roman"/>
          <w:i/>
          <w:spacing w:val="-2"/>
        </w:rPr>
        <w:t>Henry S. Miller Co. v. Bynum</w:t>
      </w:r>
      <w:r>
        <w:rPr>
          <w:rFonts w:ascii="Times New Roman" w:hAnsi="Times New Roman"/>
          <w:spacing w:val="-2"/>
        </w:rPr>
        <w:t>, 836 S.W.2d 160, 162 (</w:t>
      </w:r>
      <w:smartTag w:uri="urn:schemas-microsoft-com:office:smarttags" w:element="State">
        <w:r>
          <w:rPr>
            <w:rFonts w:ascii="Times New Roman" w:hAnsi="Times New Roman"/>
            <w:spacing w:val="-2"/>
          </w:rPr>
          <w:t>Tex.</w:t>
        </w:r>
      </w:smartTag>
      <w:r>
        <w:rPr>
          <w:rFonts w:ascii="Times New Roman" w:hAnsi="Times New Roman"/>
          <w:spacing w:val="-2"/>
        </w:rPr>
        <w:t xml:space="preserve"> 1992); </w:t>
      </w:r>
      <w:r>
        <w:rPr>
          <w:rFonts w:ascii="Times New Roman" w:hAnsi="Times New Roman"/>
          <w:i/>
          <w:spacing w:val="-2"/>
        </w:rPr>
        <w:t>Alvarado v. Farah Mfg. Co., Inc.</w:t>
      </w:r>
      <w:r>
        <w:rPr>
          <w:rFonts w:ascii="Times New Roman" w:hAnsi="Times New Roman"/>
          <w:spacing w:val="-2"/>
        </w:rPr>
        <w:t>, 830 S.W.2d 911, 915 (</w:t>
      </w:r>
      <w:smartTag w:uri="urn:schemas-microsoft-com:office:smarttags" w:element="State">
        <w:r>
          <w:rPr>
            <w:rFonts w:ascii="Times New Roman" w:hAnsi="Times New Roman"/>
            <w:spacing w:val="-2"/>
          </w:rPr>
          <w:t>Tex.</w:t>
        </w:r>
      </w:smartTag>
      <w:r>
        <w:rPr>
          <w:rFonts w:ascii="Times New Roman" w:hAnsi="Times New Roman"/>
          <w:spacing w:val="-2"/>
        </w:rPr>
        <w:t xml:space="preserve"> 1992); </w:t>
      </w:r>
      <w:r>
        <w:rPr>
          <w:rFonts w:ascii="Times New Roman" w:hAnsi="Times New Roman"/>
          <w:i/>
          <w:spacing w:val="-2"/>
        </w:rPr>
        <w:t>Sharp v. Broadway Nat’l Bank</w:t>
      </w:r>
      <w:r>
        <w:rPr>
          <w:rFonts w:ascii="Times New Roman" w:hAnsi="Times New Roman"/>
          <w:spacing w:val="-2"/>
        </w:rPr>
        <w:t>, 784 S.W.2d 669, 671 (</w:t>
      </w:r>
      <w:smartTag w:uri="urn:schemas-microsoft-com:office:smarttags" w:element="place">
        <w:smartTag w:uri="urn:schemas-microsoft-com:office:smarttags" w:element="State">
          <w:r>
            <w:rPr>
              <w:rFonts w:ascii="Times New Roman" w:hAnsi="Times New Roman"/>
              <w:spacing w:val="-2"/>
            </w:rPr>
            <w:t>Tex.</w:t>
          </w:r>
        </w:smartTag>
      </w:smartTag>
      <w:r>
        <w:rPr>
          <w:rFonts w:ascii="Times New Roman" w:hAnsi="Times New Roman"/>
          <w:spacing w:val="-2"/>
        </w:rPr>
        <w:t xml:space="preserve"> 1990).</w:t>
      </w:r>
      <w:proofErr w:type="gramEnd"/>
      <w:r>
        <w:rPr>
          <w:rFonts w:ascii="Times New Roman" w:hAnsi="Times New Roman"/>
          <w:spacing w:val="-2"/>
        </w:rPr>
        <w:t xml:space="preserve">  </w:t>
      </w:r>
    </w:p>
  </w:endnote>
  <w:endnote w:id="4">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 xml:space="preserve">Arguments on questions of law shall be addressed to the court.  Rule 269(d), </w:t>
      </w:r>
      <w:smartTag w:uri="urn:schemas-microsoft-com:office:smarttags" w:element="place">
        <w:smartTag w:uri="urn:schemas-microsoft-com:office:smarttags" w:element="State">
          <w:r>
            <w:rPr>
              <w:rFonts w:ascii="Times New Roman" w:hAnsi="Times New Roman"/>
              <w:smallCaps/>
              <w:spacing w:val="-2"/>
            </w:rPr>
            <w:t>Texas</w:t>
          </w:r>
        </w:smartTag>
      </w:smartTag>
      <w:r>
        <w:rPr>
          <w:rFonts w:ascii="Times New Roman" w:hAnsi="Times New Roman"/>
          <w:smallCaps/>
          <w:spacing w:val="-2"/>
        </w:rPr>
        <w:t xml:space="preserve"> Rules of Civil Procedure.</w:t>
      </w:r>
      <w:r>
        <w:rPr>
          <w:rFonts w:ascii="Times New Roman" w:hAnsi="Times New Roman"/>
          <w:spacing w:val="-2"/>
        </w:rPr>
        <w:t xml:space="preserve">  It is improper to argue that opposing counsel has made misrepresentations to the jury where there is no basis in the record.  </w:t>
      </w:r>
      <w:proofErr w:type="gramStart"/>
      <w:r>
        <w:rPr>
          <w:rFonts w:ascii="Times New Roman" w:hAnsi="Times New Roman"/>
          <w:i/>
          <w:spacing w:val="-2"/>
        </w:rPr>
        <w:t xml:space="preserve">Beavers v. Northrop Worldwide Aircraft </w:t>
      </w:r>
      <w:proofErr w:type="spellStart"/>
      <w:r>
        <w:rPr>
          <w:rFonts w:ascii="Times New Roman" w:hAnsi="Times New Roman"/>
          <w:i/>
          <w:spacing w:val="-2"/>
        </w:rPr>
        <w:t>Servs</w:t>
      </w:r>
      <w:proofErr w:type="spellEnd"/>
      <w:r>
        <w:rPr>
          <w:rFonts w:ascii="Times New Roman" w:hAnsi="Times New Roman"/>
          <w:i/>
          <w:spacing w:val="-2"/>
        </w:rPr>
        <w:t>., Inc.</w:t>
      </w:r>
      <w:r>
        <w:rPr>
          <w:rFonts w:ascii="Times New Roman" w:hAnsi="Times New Roman"/>
          <w:spacing w:val="-2"/>
        </w:rPr>
        <w:t>, 821 S.W.2d 669, 680 (Tex. App.–Amarillo 1991, writ denied).</w:t>
      </w:r>
      <w:proofErr w:type="gramEnd"/>
      <w:r>
        <w:rPr>
          <w:rFonts w:ascii="Times New Roman" w:hAnsi="Times New Roman"/>
          <w:spacing w:val="-2"/>
        </w:rPr>
        <w:t xml:space="preserve"> It is improper for an attorney to argue to the jury that opposing counsel has made misstatements or misrepresentations of the facts or of the law as such argument is an attack upon the integrity of the opposing counsel.  </w:t>
      </w:r>
      <w:proofErr w:type="gramStart"/>
      <w:r>
        <w:rPr>
          <w:rFonts w:ascii="Times New Roman" w:hAnsi="Times New Roman"/>
          <w:i/>
          <w:spacing w:val="-2"/>
        </w:rPr>
        <w:t>Amelia’s Automotive, Inc. v. Rodriguez</w:t>
      </w:r>
      <w:r>
        <w:rPr>
          <w:rFonts w:ascii="Times New Roman" w:hAnsi="Times New Roman"/>
          <w:spacing w:val="-2"/>
        </w:rPr>
        <w:t>, 921 S.W.2d 767, 773 (Tex. App.–San Antonio 1996, no writ) (attacks upon the integrity of opposing counsel are “categorically prohibited”).</w:t>
      </w:r>
      <w:proofErr w:type="gramEnd"/>
    </w:p>
  </w:endnote>
  <w:endnote w:id="5">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 xml:space="preserve">Argument referring to the corporate character or nonresident status of a party is improper.  </w:t>
      </w:r>
      <w:proofErr w:type="gramStart"/>
      <w:r>
        <w:rPr>
          <w:rFonts w:ascii="Times New Roman" w:hAnsi="Times New Roman"/>
          <w:i/>
          <w:spacing w:val="-2"/>
        </w:rPr>
        <w:t>Lone Star Ford, Inc. v. Carter</w:t>
      </w:r>
      <w:r>
        <w:rPr>
          <w:rFonts w:ascii="Times New Roman" w:hAnsi="Times New Roman"/>
          <w:spacing w:val="-2"/>
        </w:rPr>
        <w:t>, 848 S.W.2d 850, 855 (Tex. App.–Houston [14th Dist.] 1993, no writ).</w:t>
      </w:r>
      <w:proofErr w:type="gramEnd"/>
    </w:p>
  </w:endnote>
  <w:endnote w:id="6">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rPr>
        <w:t xml:space="preserve">It is appropriate for counsel to comment on the opposing party’s failure to call a witness only under the following circumstances:  (1) the witness must be under the opposing party’s control or must stand in some special relationship to the opposing party; (2) the witness must have been in a position to obtain material information unfavorable to the opponent about an issue in the case; (3) the record must show that the witness is legally available; and (4) it must be clear that the uncalled witness may have adverse knowledge about a material disputed fact.  </w:t>
      </w:r>
      <w:proofErr w:type="gramStart"/>
      <w:r>
        <w:rPr>
          <w:rFonts w:ascii="Times New Roman" w:hAnsi="Times New Roman"/>
          <w:i/>
        </w:rPr>
        <w:t xml:space="preserve">Bexar </w:t>
      </w:r>
      <w:smartTag w:uri="urn:schemas-microsoft-com:office:smarttags" w:element="place">
        <w:smartTag w:uri="urn:schemas-microsoft-com:office:smarttags" w:element="PlaceType">
          <w:r>
            <w:rPr>
              <w:rFonts w:ascii="Times New Roman" w:hAnsi="Times New Roman"/>
              <w:i/>
            </w:rPr>
            <w:t>County</w:t>
          </w:r>
        </w:smartTag>
        <w:r>
          <w:rPr>
            <w:rFonts w:ascii="Times New Roman" w:hAnsi="Times New Roman"/>
            <w:i/>
          </w:rPr>
          <w:t xml:space="preserve"> </w:t>
        </w:r>
        <w:smartTag w:uri="urn:schemas-microsoft-com:office:smarttags" w:element="PlaceName">
          <w:r>
            <w:rPr>
              <w:rFonts w:ascii="Times New Roman" w:hAnsi="Times New Roman"/>
              <w:i/>
            </w:rPr>
            <w:t>Appraisal</w:t>
          </w:r>
        </w:smartTag>
      </w:smartTag>
      <w:r>
        <w:rPr>
          <w:rFonts w:ascii="Times New Roman" w:hAnsi="Times New Roman"/>
          <w:i/>
        </w:rPr>
        <w:t xml:space="preserve"> Review Bd. v.</w:t>
      </w:r>
      <w:proofErr w:type="gramEnd"/>
      <w:r>
        <w:rPr>
          <w:rFonts w:ascii="Times New Roman" w:hAnsi="Times New Roman"/>
          <w:i/>
        </w:rPr>
        <w:t xml:space="preserve"> First Baptist Church</w:t>
      </w:r>
      <w:r>
        <w:rPr>
          <w:rFonts w:ascii="Times New Roman" w:hAnsi="Times New Roman"/>
        </w:rPr>
        <w:t>, 846 S.W.2d 554, 565 (Tex. App.–San Antonio 1993, writ denied) (“Surely our legal system should not permit one advocate to implicitly criticize the other in final argument for getting to the crux of the case instead of presenting testimony about each and every minute matter that might have some relevance to the issues.”).</w:t>
      </w:r>
    </w:p>
  </w:endnote>
  <w:endnote w:id="7">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A lawyer shall not assert personal knowledge of facts in issue except when testifying as a witness.  Rule 3.04(c</w:t>
      </w:r>
      <w:proofErr w:type="gramStart"/>
      <w:r>
        <w:rPr>
          <w:rFonts w:ascii="Times New Roman" w:hAnsi="Times New Roman"/>
          <w:spacing w:val="-2"/>
        </w:rPr>
        <w:t>)(</w:t>
      </w:r>
      <w:proofErr w:type="gramEnd"/>
      <w:r>
        <w:rPr>
          <w:rFonts w:ascii="Times New Roman" w:hAnsi="Times New Roman"/>
          <w:spacing w:val="-2"/>
        </w:rPr>
        <w:t xml:space="preserve">2), </w:t>
      </w:r>
      <w:smartTag w:uri="urn:schemas-microsoft-com:office:smarttags" w:element="place">
        <w:smartTag w:uri="urn:schemas-microsoft-com:office:smarttags" w:element="State">
          <w:r>
            <w:rPr>
              <w:rFonts w:ascii="Times New Roman" w:hAnsi="Times New Roman"/>
              <w:smallCaps/>
              <w:spacing w:val="-2"/>
            </w:rPr>
            <w:t>Texas</w:t>
          </w:r>
        </w:smartTag>
      </w:smartTag>
      <w:r>
        <w:rPr>
          <w:rFonts w:ascii="Times New Roman" w:hAnsi="Times New Roman"/>
          <w:smallCaps/>
          <w:spacing w:val="-2"/>
        </w:rPr>
        <w:t xml:space="preserve"> Disciplinary Rules of Professional Conduct</w:t>
      </w:r>
      <w:r>
        <w:rPr>
          <w:rFonts w:ascii="Times New Roman" w:hAnsi="Times New Roman"/>
          <w:spacing w:val="-2"/>
        </w:rPr>
        <w:t xml:space="preserve">.  A lawyer shall not serve as an advocate in an adjudicatory proceeding if the lawyer knows or believes that the lawyer is or may be a witness necessary to establish an essential fact on behalf of the lawyer’s client.  Rule 3.08, </w:t>
      </w:r>
      <w:smartTag w:uri="urn:schemas-microsoft-com:office:smarttags" w:element="place">
        <w:smartTag w:uri="urn:schemas-microsoft-com:office:smarttags" w:element="State">
          <w:r>
            <w:rPr>
              <w:rFonts w:ascii="Times New Roman" w:hAnsi="Times New Roman"/>
              <w:smallCaps/>
              <w:spacing w:val="-2"/>
            </w:rPr>
            <w:t>Texas</w:t>
          </w:r>
        </w:smartTag>
      </w:smartTag>
      <w:r>
        <w:rPr>
          <w:rFonts w:ascii="Times New Roman" w:hAnsi="Times New Roman"/>
          <w:smallCaps/>
          <w:spacing w:val="-2"/>
        </w:rPr>
        <w:t xml:space="preserve"> Disciplinary Rules of Professional Conduct.</w:t>
      </w:r>
    </w:p>
  </w:endnote>
  <w:endnote w:id="8">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 xml:space="preserve">Under Rule 401, </w:t>
      </w:r>
      <w:r>
        <w:rPr>
          <w:rFonts w:ascii="Times New Roman" w:hAnsi="Times New Roman"/>
          <w:smallCaps/>
          <w:spacing w:val="-2"/>
        </w:rPr>
        <w:t>Texas Rules of Evidence</w:t>
      </w:r>
      <w:r>
        <w:rPr>
          <w:rFonts w:ascii="Times New Roman" w:hAnsi="Times New Roman"/>
          <w:spacing w:val="-2"/>
        </w:rPr>
        <w:t xml:space="preserve">, for evidence to be “relevant” in the broad sense, it must be (1) material (the evidence must support a proposition that is a provable or controlling matter); and (2) relevant (the offered evidence tends to prove the proposition for which it was offered).  </w:t>
      </w:r>
      <w:smartTag w:uri="urn:schemas-microsoft-com:office:smarttags" w:element="place">
        <w:smartTag w:uri="urn:schemas-microsoft-com:office:smarttags" w:element="State">
          <w:r>
            <w:rPr>
              <w:rFonts w:ascii="Times New Roman" w:hAnsi="Times New Roman"/>
              <w:smallCaps/>
              <w:spacing w:val="-2"/>
            </w:rPr>
            <w:t>Texas</w:t>
          </w:r>
        </w:smartTag>
      </w:smartTag>
      <w:r>
        <w:rPr>
          <w:rFonts w:ascii="Times New Roman" w:hAnsi="Times New Roman"/>
          <w:smallCaps/>
          <w:spacing w:val="-2"/>
        </w:rPr>
        <w:t xml:space="preserve"> Rules of Evidence Handbook</w:t>
      </w:r>
      <w:r>
        <w:rPr>
          <w:rFonts w:ascii="Times New Roman" w:hAnsi="Times New Roman"/>
          <w:spacing w:val="-2"/>
        </w:rPr>
        <w:t xml:space="preserve">, at 194 (3d ed. 1998).  Whether a fact or proposition is material (provable or controlling) in turn depends on the pleadings of the parties.  </w:t>
      </w:r>
      <w:r>
        <w:rPr>
          <w:rFonts w:ascii="Times New Roman" w:hAnsi="Times New Roman"/>
          <w:smallCaps/>
          <w:spacing w:val="-2"/>
        </w:rPr>
        <w:t>Texas Rules of Evidence Handbook</w:t>
      </w:r>
      <w:r>
        <w:rPr>
          <w:rFonts w:ascii="Times New Roman" w:hAnsi="Times New Roman"/>
          <w:spacing w:val="-2"/>
        </w:rPr>
        <w:t xml:space="preserve">, at 195 (3d ed. 1998); </w:t>
      </w:r>
      <w:r>
        <w:rPr>
          <w:rFonts w:ascii="Times New Roman" w:hAnsi="Times New Roman"/>
          <w:i/>
          <w:spacing w:val="-2"/>
        </w:rPr>
        <w:t>San Antonio Traction Co. v. Higdon</w:t>
      </w:r>
      <w:r>
        <w:rPr>
          <w:rFonts w:ascii="Times New Roman" w:hAnsi="Times New Roman"/>
          <w:spacing w:val="-2"/>
        </w:rPr>
        <w:t xml:space="preserve">, 123 S.W. 732, 734-35 (Tex. Civ. App. 1909, writ </w:t>
      </w:r>
      <w:proofErr w:type="spellStart"/>
      <w:r>
        <w:rPr>
          <w:rFonts w:ascii="Times New Roman" w:hAnsi="Times New Roman"/>
          <w:spacing w:val="-2"/>
        </w:rPr>
        <w:t>ref’d</w:t>
      </w:r>
      <w:proofErr w:type="spellEnd"/>
      <w:r>
        <w:rPr>
          <w:rFonts w:ascii="Times New Roman" w:hAnsi="Times New Roman"/>
          <w:spacing w:val="-2"/>
        </w:rPr>
        <w:t>) (holding that the test of materiality depends upon the issues of fact and law raised by the pleadings).  Evidence of any fact not in conformity with, or outside of, the written pleadings is immaterial</w:t>
      </w:r>
      <w:r w:rsidR="004504AA">
        <w:rPr>
          <w:rFonts w:ascii="Times New Roman" w:hAnsi="Times New Roman"/>
          <w:spacing w:val="-2"/>
        </w:rPr>
        <w:t>, and thus, irrelevant evidence.</w:t>
      </w:r>
      <w:r w:rsidR="004504AA">
        <w:rPr>
          <w:rFonts w:ascii="Times New Roman" w:hAnsi="Times New Roman"/>
          <w:spacing w:val="-2"/>
        </w:rPr>
        <w:br/>
      </w:r>
      <w:r>
        <w:rPr>
          <w:rFonts w:ascii="Times New Roman" w:hAnsi="Times New Roman"/>
          <w:spacing w:val="-2"/>
        </w:rPr>
        <w:t xml:space="preserve">Attorneys are required to confine their argument strictly to the evidence and to the arguments of opposing counsel.  Rule 269(e), </w:t>
      </w:r>
      <w:r>
        <w:rPr>
          <w:rFonts w:ascii="Times New Roman" w:hAnsi="Times New Roman"/>
          <w:smallCaps/>
          <w:spacing w:val="-2"/>
        </w:rPr>
        <w:t>Texas Rules of Civil Procedure</w:t>
      </w:r>
      <w:r>
        <w:rPr>
          <w:rFonts w:ascii="Times New Roman" w:hAnsi="Times New Roman"/>
          <w:spacing w:val="-2"/>
        </w:rPr>
        <w:t xml:space="preserve">; </w:t>
      </w:r>
      <w:r>
        <w:rPr>
          <w:rFonts w:ascii="Times New Roman" w:hAnsi="Times New Roman"/>
          <w:i/>
          <w:spacing w:val="-2"/>
        </w:rPr>
        <w:t>Circle Y v. Blevins</w:t>
      </w:r>
      <w:r>
        <w:rPr>
          <w:rFonts w:ascii="Times New Roman" w:hAnsi="Times New Roman"/>
          <w:spacing w:val="-2"/>
        </w:rPr>
        <w:t xml:space="preserve">, 826 S.W.2d 753, 758 (Tex. App.–Texarkana 1992, writ denied); </w:t>
      </w:r>
      <w:r>
        <w:rPr>
          <w:rFonts w:ascii="Times New Roman" w:hAnsi="Times New Roman"/>
          <w:i/>
          <w:spacing w:val="-2"/>
        </w:rPr>
        <w:t>Lone Star Ford, Inc. v. Carter</w:t>
      </w:r>
      <w:r>
        <w:rPr>
          <w:rFonts w:ascii="Times New Roman" w:hAnsi="Times New Roman"/>
          <w:spacing w:val="-2"/>
        </w:rPr>
        <w:t xml:space="preserve">, 848 S.W.2d 850, 853 (Tex. App.–Houston </w:t>
      </w:r>
      <w:r>
        <w:rPr>
          <w:rFonts w:ascii="Times New Roman" w:hAnsi="Times New Roman"/>
          <w:smallCaps/>
          <w:spacing w:val="-2"/>
        </w:rPr>
        <w:t>[</w:t>
      </w:r>
      <w:r>
        <w:rPr>
          <w:rFonts w:ascii="Times New Roman" w:hAnsi="Times New Roman"/>
          <w:spacing w:val="-2"/>
        </w:rPr>
        <w:t>14th Dist</w:t>
      </w:r>
      <w:r>
        <w:rPr>
          <w:rFonts w:ascii="Times New Roman" w:hAnsi="Times New Roman"/>
          <w:smallCaps/>
          <w:spacing w:val="-2"/>
        </w:rPr>
        <w:t>.] 1993,</w:t>
      </w:r>
      <w:r>
        <w:rPr>
          <w:rFonts w:ascii="Times New Roman" w:hAnsi="Times New Roman"/>
          <w:spacing w:val="-2"/>
        </w:rPr>
        <w:t xml:space="preserve"> no writ).  Counsel’s argument may not go outside the limits of the evidence presented at trial.  Counsel may discuss the reasonableness of the evidence and its probative effect, but only as to the facts and issues raised by the evidence admitted under the ruling of the court.  </w:t>
      </w:r>
      <w:proofErr w:type="gramStart"/>
      <w:r>
        <w:rPr>
          <w:rFonts w:ascii="Times New Roman" w:hAnsi="Times New Roman"/>
          <w:i/>
          <w:spacing w:val="-2"/>
        </w:rPr>
        <w:t>Texas Sand Co. v. Shield</w:t>
      </w:r>
      <w:r>
        <w:rPr>
          <w:rFonts w:ascii="Times New Roman" w:hAnsi="Times New Roman"/>
          <w:spacing w:val="-2"/>
        </w:rPr>
        <w:t>, 381 S.W.2d 48, 57-8 (</w:t>
      </w:r>
      <w:smartTag w:uri="urn:schemas-microsoft-com:office:smarttags" w:element="place">
        <w:smartTag w:uri="urn:schemas-microsoft-com:office:smarttags" w:element="State">
          <w:r>
            <w:rPr>
              <w:rFonts w:ascii="Times New Roman" w:hAnsi="Times New Roman"/>
              <w:spacing w:val="-2"/>
            </w:rPr>
            <w:t>Tex.</w:t>
          </w:r>
        </w:smartTag>
      </w:smartTag>
      <w:r w:rsidR="004504AA">
        <w:rPr>
          <w:rFonts w:ascii="Times New Roman" w:hAnsi="Times New Roman"/>
          <w:spacing w:val="-2"/>
        </w:rPr>
        <w:t xml:space="preserve"> 1964).</w:t>
      </w:r>
      <w:proofErr w:type="gramEnd"/>
      <w:r w:rsidR="004504AA">
        <w:rPr>
          <w:rFonts w:ascii="Times New Roman" w:hAnsi="Times New Roman"/>
          <w:spacing w:val="-2"/>
        </w:rPr>
        <w:br/>
      </w:r>
      <w:r>
        <w:rPr>
          <w:rFonts w:ascii="Times New Roman" w:hAnsi="Times New Roman"/>
          <w:spacing w:val="-2"/>
        </w:rPr>
        <w:t xml:space="preserve">An avoidance or affirmative defense must be pleaded by a party or the defense is waived.  Rule 94, </w:t>
      </w:r>
      <w:smartTag w:uri="urn:schemas-microsoft-com:office:smarttags" w:element="State">
        <w:r>
          <w:rPr>
            <w:rFonts w:ascii="Times New Roman" w:hAnsi="Times New Roman"/>
            <w:smallCaps/>
            <w:spacing w:val="-2"/>
          </w:rPr>
          <w:t>Texas</w:t>
        </w:r>
      </w:smartTag>
      <w:r>
        <w:rPr>
          <w:rFonts w:ascii="Times New Roman" w:hAnsi="Times New Roman"/>
          <w:smallCaps/>
          <w:spacing w:val="-2"/>
        </w:rPr>
        <w:t xml:space="preserve"> Rules of Civil Procedure</w:t>
      </w:r>
      <w:r>
        <w:rPr>
          <w:rFonts w:ascii="Times New Roman" w:hAnsi="Times New Roman"/>
          <w:spacing w:val="-2"/>
        </w:rPr>
        <w:t xml:space="preserve">; </w:t>
      </w:r>
      <w:r>
        <w:rPr>
          <w:rFonts w:ascii="Times New Roman" w:hAnsi="Times New Roman"/>
          <w:i/>
          <w:spacing w:val="-2"/>
        </w:rPr>
        <w:t>Woods v. William M. Mercer, Inc.</w:t>
      </w:r>
      <w:r>
        <w:rPr>
          <w:rFonts w:ascii="Times New Roman" w:hAnsi="Times New Roman"/>
          <w:spacing w:val="-2"/>
        </w:rPr>
        <w:t>, 769 S.W.2d 515, 518 (</w:t>
      </w:r>
      <w:smartTag w:uri="urn:schemas-microsoft-com:office:smarttags" w:element="place">
        <w:smartTag w:uri="urn:schemas-microsoft-com:office:smarttags" w:element="State">
          <w:r>
            <w:rPr>
              <w:rFonts w:ascii="Times New Roman" w:hAnsi="Times New Roman"/>
              <w:spacing w:val="-2"/>
            </w:rPr>
            <w:t>Tex.</w:t>
          </w:r>
        </w:smartTag>
      </w:smartTag>
      <w:r>
        <w:rPr>
          <w:rFonts w:ascii="Times New Roman" w:hAnsi="Times New Roman"/>
          <w:spacing w:val="-2"/>
        </w:rPr>
        <w:t xml:space="preserve"> 1988).  Pleading an affirmative defense permits the introduction of evidence which does not tend to rebut the factual propositions asserted in the petitioner’s case, but which seeks to establish an independent reason why the petitioner should not succeed in its suit.  An affirmative defense is one of avoidance, rather than a defense in denial.  </w:t>
      </w:r>
      <w:proofErr w:type="gramStart"/>
      <w:r>
        <w:rPr>
          <w:rFonts w:ascii="Times New Roman" w:hAnsi="Times New Roman"/>
          <w:i/>
          <w:spacing w:val="-2"/>
        </w:rPr>
        <w:t>Gorman v. Life Ins. Co. of North America</w:t>
      </w:r>
      <w:r>
        <w:rPr>
          <w:rFonts w:ascii="Times New Roman" w:hAnsi="Times New Roman"/>
          <w:spacing w:val="-2"/>
        </w:rPr>
        <w:t>, 811 S.W.2d 542, 546 (</w:t>
      </w:r>
      <w:smartTag w:uri="urn:schemas-microsoft-com:office:smarttags" w:element="place">
        <w:smartTag w:uri="urn:schemas-microsoft-com:office:smarttags" w:element="State">
          <w:r>
            <w:rPr>
              <w:rFonts w:ascii="Times New Roman" w:hAnsi="Times New Roman"/>
              <w:spacing w:val="-2"/>
            </w:rPr>
            <w:t>Tex.</w:t>
          </w:r>
        </w:smartTag>
      </w:smartTag>
      <w:r>
        <w:rPr>
          <w:rFonts w:ascii="Times New Roman" w:hAnsi="Times New Roman"/>
          <w:spacing w:val="-2"/>
        </w:rPr>
        <w:t xml:space="preserve"> 1991).</w:t>
      </w:r>
      <w:proofErr w:type="gramEnd"/>
    </w:p>
  </w:endnote>
  <w:endnote w:id="9">
    <w:p w:rsidR="005C26A8" w:rsidRDefault="005C26A8" w:rsidP="005C26A8">
      <w:pPr>
        <w:pStyle w:val="EndnoteText"/>
      </w:pPr>
      <w:r>
        <w:rPr>
          <w:rStyle w:val="EndnoteReference"/>
        </w:rPr>
        <w:endnoteRef/>
      </w:r>
      <w:r>
        <w:t xml:space="preserve"> </w:t>
      </w:r>
      <w:r>
        <w:rPr>
          <w:rFonts w:ascii="Times New Roman" w:hAnsi="Times New Roman"/>
          <w:b/>
        </w:rPr>
        <w:t xml:space="preserve">Authority:  </w:t>
      </w:r>
      <w:r>
        <w:rPr>
          <w:rFonts w:ascii="Times New Roman" w:hAnsi="Times New Roman"/>
        </w:rPr>
        <w:t xml:space="preserve">In a termination case, the only relevant issues are (1) did the parent commit one of the enumerated grounds for termination; and (2) is termination in the best interest of the child.  Whether the Department may have deviated from federal law or its own regulations is irrelevant to the issue of termination and conservatorship.  In </w:t>
      </w:r>
      <w:r>
        <w:rPr>
          <w:rFonts w:ascii="Times New Roman" w:hAnsi="Times New Roman"/>
          <w:i/>
        </w:rPr>
        <w:t>James v. Texas Dept. of Human Services</w:t>
      </w:r>
      <w:r>
        <w:rPr>
          <w:rFonts w:ascii="Times New Roman" w:hAnsi="Times New Roman"/>
        </w:rPr>
        <w:t>, 836 S.W.2d 236, 245 (Tex. App.–Texarkana 1992, no writ), James’ attorney requested the court to submit jury questions on a counterclaim she had filed.  These were nine questions dealing with whether the Department of Human Services followed the correct procedure in attempting to terminate her parental rights.  The appellate court, in affirming the trial court’s refusal to submit the jury questions, stated, “The Department of Human Services may have deviated from its own regulations and the requirements of the Adoption Assistance and Child Welfare Act of 1980.  This, however, has no bearing on whether there were grounds for termination and whether the termination was in the best interests of the children.”</w:t>
      </w:r>
    </w:p>
  </w:endnote>
  <w:endnote w:id="10">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 xml:space="preserve">“The trial court’s gatekeeping function under Rule 702 does not supplant cross-examination as ‘the traditional and appropriate means of attacking shaky but admissible evidence.’ [footnote omitted]  But neither does the availability of cross-examination relieve the trial court of its threshold responsibility under Rule 702 ‘of ensuring that an expert’s testimony both rests on a reliable foundation and is relevant to the task at hand.’”  “All expert testimony should be shown to be reliable before it is admitted.”  </w:t>
      </w:r>
      <w:proofErr w:type="spellStart"/>
      <w:proofErr w:type="gramStart"/>
      <w:r>
        <w:rPr>
          <w:rFonts w:ascii="Times New Roman" w:hAnsi="Times New Roman"/>
          <w:i/>
          <w:spacing w:val="-2"/>
        </w:rPr>
        <w:t>Gammill</w:t>
      </w:r>
      <w:proofErr w:type="spellEnd"/>
      <w:r>
        <w:rPr>
          <w:rFonts w:ascii="Times New Roman" w:hAnsi="Times New Roman"/>
          <w:i/>
          <w:spacing w:val="-2"/>
        </w:rPr>
        <w:t xml:space="preserve"> v. Jack Williams Chevrolet, Inc.</w:t>
      </w:r>
      <w:r>
        <w:rPr>
          <w:rFonts w:ascii="Times New Roman" w:hAnsi="Times New Roman"/>
          <w:spacing w:val="-2"/>
        </w:rPr>
        <w:t>, 972 S.W.2d 713, 726 &amp; 728 (</w:t>
      </w:r>
      <w:smartTag w:uri="urn:schemas-microsoft-com:office:smarttags" w:element="place">
        <w:smartTag w:uri="urn:schemas-microsoft-com:office:smarttags" w:element="State">
          <w:r>
            <w:rPr>
              <w:rFonts w:ascii="Times New Roman" w:hAnsi="Times New Roman"/>
              <w:spacing w:val="-2"/>
            </w:rPr>
            <w:t>Tex.</w:t>
          </w:r>
        </w:smartTag>
      </w:smartTag>
      <w:r>
        <w:rPr>
          <w:rFonts w:ascii="Times New Roman" w:hAnsi="Times New Roman"/>
          <w:spacing w:val="-2"/>
        </w:rPr>
        <w:t xml:space="preserve"> 1998).</w:t>
      </w:r>
      <w:proofErr w:type="gramEnd"/>
    </w:p>
  </w:endnote>
  <w:endnote w:id="11">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 xml:space="preserve">Under Rule 204.4, </w:t>
      </w:r>
      <w:r>
        <w:rPr>
          <w:rFonts w:ascii="Times New Roman" w:hAnsi="Times New Roman"/>
          <w:smallCaps/>
          <w:spacing w:val="-2"/>
        </w:rPr>
        <w:t>Texas Rules of Civil Procedure</w:t>
      </w:r>
      <w:r>
        <w:rPr>
          <w:rFonts w:ascii="Times New Roman" w:hAnsi="Times New Roman"/>
          <w:spacing w:val="-2"/>
        </w:rPr>
        <w:t xml:space="preserve">, the court, on its own initiative or on motion of a party, may appoint a psychologist or psychiatrist to make mental examinations of any party.  When the court appoints a psychologist or psychiatrist to examine any party, the professional acts “as a functionary” of the court, to “fulfill quasi-judicial functions intimately related to the judicial process” by serving “as a fact finder for the court” “to provide information essential to the decision-making process.”  </w:t>
      </w:r>
      <w:proofErr w:type="spellStart"/>
      <w:r>
        <w:rPr>
          <w:rFonts w:ascii="Times New Roman" w:hAnsi="Times New Roman"/>
          <w:i/>
          <w:spacing w:val="-2"/>
        </w:rPr>
        <w:t>Delcourt</w:t>
      </w:r>
      <w:proofErr w:type="spellEnd"/>
      <w:r>
        <w:rPr>
          <w:rFonts w:ascii="Times New Roman" w:hAnsi="Times New Roman"/>
          <w:i/>
          <w:spacing w:val="-2"/>
        </w:rPr>
        <w:t xml:space="preserve"> v. Silverman</w:t>
      </w:r>
      <w:r>
        <w:rPr>
          <w:rFonts w:ascii="Times New Roman" w:hAnsi="Times New Roman"/>
          <w:spacing w:val="-2"/>
        </w:rPr>
        <w:t xml:space="preserve">, 919 S.W.2d 777, 782-83 (Tex. App.–Houston [14th Dist.] 1996, writ denied), </w:t>
      </w:r>
      <w:r>
        <w:rPr>
          <w:rFonts w:ascii="Times New Roman" w:hAnsi="Times New Roman"/>
          <w:i/>
          <w:spacing w:val="-2"/>
        </w:rPr>
        <w:t>cert. denied</w:t>
      </w:r>
      <w:r>
        <w:rPr>
          <w:rFonts w:ascii="Times New Roman" w:hAnsi="Times New Roman"/>
          <w:spacing w:val="-2"/>
        </w:rPr>
        <w:t xml:space="preserve">, 520 </w:t>
      </w:r>
      <w:smartTag w:uri="urn:schemas-microsoft-com:office:smarttags" w:element="place">
        <w:smartTag w:uri="urn:schemas-microsoft-com:office:smarttags" w:element="country-region">
          <w:r>
            <w:rPr>
              <w:rFonts w:ascii="Times New Roman" w:hAnsi="Times New Roman"/>
              <w:spacing w:val="-2"/>
            </w:rPr>
            <w:t>U.S.</w:t>
          </w:r>
        </w:smartTag>
      </w:smartTag>
      <w:r>
        <w:rPr>
          <w:rFonts w:ascii="Times New Roman" w:hAnsi="Times New Roman"/>
          <w:spacing w:val="-2"/>
        </w:rPr>
        <w:t xml:space="preserve"> 1213 (1997).</w:t>
      </w:r>
    </w:p>
  </w:endnote>
  <w:endnote w:id="12">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 xml:space="preserve">Evidence of the beliefs or opinions of a witness on matters of religion is not admissible for the purpose of showing that by reason of their nature the witness’ credibility is impaired or enhanced.  Rule 610, </w:t>
      </w:r>
      <w:smartTag w:uri="urn:schemas-microsoft-com:office:smarttags" w:element="place">
        <w:smartTag w:uri="urn:schemas-microsoft-com:office:smarttags" w:element="State">
          <w:r>
            <w:rPr>
              <w:rFonts w:ascii="Times New Roman" w:hAnsi="Times New Roman"/>
              <w:smallCaps/>
              <w:spacing w:val="-2"/>
            </w:rPr>
            <w:t>Texas</w:t>
          </w:r>
        </w:smartTag>
      </w:smartTag>
      <w:r>
        <w:rPr>
          <w:rFonts w:ascii="Times New Roman" w:hAnsi="Times New Roman"/>
          <w:smallCaps/>
          <w:spacing w:val="-2"/>
        </w:rPr>
        <w:t xml:space="preserve"> Rules of Evidence.</w:t>
      </w:r>
    </w:p>
  </w:endnote>
  <w:endnote w:id="13">
    <w:p w:rsidR="005C26A8" w:rsidRDefault="005C26A8" w:rsidP="005C26A8">
      <w:pPr>
        <w:pStyle w:val="EndnoteText"/>
      </w:pPr>
      <w:r>
        <w:rPr>
          <w:rStyle w:val="EndnoteReference"/>
        </w:rPr>
        <w:endnoteRef/>
      </w:r>
      <w:r>
        <w:t xml:space="preserve"> </w:t>
      </w:r>
      <w:r>
        <w:rPr>
          <w:rFonts w:ascii="Times New Roman" w:hAnsi="Times New Roman"/>
          <w:b/>
          <w:spacing w:val="-2"/>
        </w:rPr>
        <w:t xml:space="preserve">Authority:  </w:t>
      </w:r>
      <w:r>
        <w:rPr>
          <w:rFonts w:ascii="Times New Roman" w:hAnsi="Times New Roman"/>
          <w:spacing w:val="-2"/>
        </w:rPr>
        <w:t xml:space="preserve">References to the local ties of one litigant or attorney or references of an opposing attorney as being from “out of town” is improper argument and is an “unfair effort to prejudice a jury” by appealing to “geographical prejudice.”  </w:t>
      </w:r>
      <w:proofErr w:type="gramStart"/>
      <w:smartTag w:uri="urn:schemas-microsoft-com:office:smarttags" w:element="place">
        <w:smartTag w:uri="urn:schemas-microsoft-com:office:smarttags" w:element="PlaceName">
          <w:r>
            <w:rPr>
              <w:rFonts w:ascii="Times New Roman" w:hAnsi="Times New Roman"/>
              <w:i/>
            </w:rPr>
            <w:t>Twin</w:t>
          </w:r>
        </w:smartTag>
        <w:r>
          <w:rPr>
            <w:rFonts w:ascii="Times New Roman" w:hAnsi="Times New Roman"/>
            <w:i/>
          </w:rPr>
          <w:t xml:space="preserve"> </w:t>
        </w:r>
        <w:smartTag w:uri="urn:schemas-microsoft-com:office:smarttags" w:element="PlaceType">
          <w:r>
            <w:rPr>
              <w:rFonts w:ascii="Times New Roman" w:hAnsi="Times New Roman"/>
              <w:i/>
            </w:rPr>
            <w:t>City</w:t>
          </w:r>
        </w:smartTag>
      </w:smartTag>
      <w:r>
        <w:rPr>
          <w:rFonts w:ascii="Times New Roman" w:hAnsi="Times New Roman"/>
          <w:i/>
        </w:rPr>
        <w:t xml:space="preserve"> Fire.</w:t>
      </w:r>
      <w:proofErr w:type="gramEnd"/>
      <w:r>
        <w:rPr>
          <w:rFonts w:ascii="Times New Roman" w:hAnsi="Times New Roman"/>
          <w:i/>
        </w:rPr>
        <w:t xml:space="preserve"> </w:t>
      </w:r>
      <w:proofErr w:type="gramStart"/>
      <w:r>
        <w:rPr>
          <w:rFonts w:ascii="Times New Roman" w:hAnsi="Times New Roman"/>
          <w:i/>
        </w:rPr>
        <w:t>Ins. Co. v. King</w:t>
      </w:r>
      <w:r>
        <w:rPr>
          <w:rFonts w:ascii="Times New Roman" w:hAnsi="Times New Roman"/>
        </w:rPr>
        <w:t xml:space="preserve">, 510 S.W.2d 370, 375 (Tex. Civ. App.–Houston [1st Dist.] 1974, writ </w:t>
      </w:r>
      <w:proofErr w:type="spellStart"/>
      <w:r>
        <w:rPr>
          <w:rFonts w:ascii="Times New Roman" w:hAnsi="Times New Roman"/>
        </w:rPr>
        <w:t>ref’d</w:t>
      </w:r>
      <w:proofErr w:type="spellEnd"/>
      <w:r>
        <w:rPr>
          <w:rFonts w:ascii="Times New Roman" w:hAnsi="Times New Roman"/>
        </w:rPr>
        <w:t xml:space="preserve"> </w:t>
      </w:r>
      <w:proofErr w:type="spellStart"/>
      <w:r>
        <w:rPr>
          <w:rFonts w:ascii="Times New Roman" w:hAnsi="Times New Roman"/>
        </w:rPr>
        <w:t>n.r.e</w:t>
      </w:r>
      <w:proofErr w:type="spellEnd"/>
      <w:r>
        <w:rPr>
          <w:rFonts w:ascii="Times New Roman" w:hAnsi="Times New Roman"/>
        </w:rPr>
        <w:t>.).</w:t>
      </w:r>
      <w:proofErr w:type="gramEnd"/>
      <w:r>
        <w:rPr>
          <w:rFonts w:ascii="Times New Roman" w:hAnsi="Times New Roman"/>
        </w:rPr>
        <w:t xml:space="preserve"> </w:t>
      </w:r>
      <w:r>
        <w:rPr>
          <w:rFonts w:ascii="Times New Roman" w:hAnsi="Times New Roman"/>
          <w:spacing w:val="-2"/>
        </w:rPr>
        <w:t xml:space="preserve">Argument referring to the corporate character or nonresident status of a party is improper.  </w:t>
      </w:r>
      <w:proofErr w:type="gramStart"/>
      <w:r>
        <w:rPr>
          <w:rFonts w:ascii="Times New Roman" w:hAnsi="Times New Roman"/>
          <w:i/>
          <w:spacing w:val="-2"/>
        </w:rPr>
        <w:t>Lone Star Ford, Inc. v. Carter</w:t>
      </w:r>
      <w:r>
        <w:rPr>
          <w:rFonts w:ascii="Times New Roman" w:hAnsi="Times New Roman"/>
          <w:spacing w:val="-2"/>
        </w:rPr>
        <w:t>, 848 S.W.2d 850, 855 (Tex. App.–Houston [14th Dist.] 1993, no writ).</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6A8" w:rsidRDefault="005C26A8" w:rsidP="005C26A8">
      <w:pPr>
        <w:spacing w:after="0" w:line="240" w:lineRule="auto"/>
      </w:pPr>
      <w:r>
        <w:separator/>
      </w:r>
    </w:p>
  </w:footnote>
  <w:footnote w:type="continuationSeparator" w:id="0">
    <w:p w:rsidR="005C26A8" w:rsidRDefault="005C26A8" w:rsidP="005C26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C5068B6"/>
    <w:lvl w:ilvl="0">
      <w:numFmt w:val="decimal"/>
      <w:lvlText w:val="*"/>
      <w:lvlJc w:val="left"/>
      <w:pPr>
        <w:ind w:left="0" w:firstLine="0"/>
      </w:pPr>
    </w:lvl>
  </w:abstractNum>
  <w:abstractNum w:abstractNumId="1">
    <w:nsid w:val="474A1ED3"/>
    <w:multiLevelType w:val="singleLevel"/>
    <w:tmpl w:val="7DE6579C"/>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A8"/>
    <w:rsid w:val="000D5A2D"/>
    <w:rsid w:val="000E7262"/>
    <w:rsid w:val="00245754"/>
    <w:rsid w:val="00356CF4"/>
    <w:rsid w:val="003844DB"/>
    <w:rsid w:val="004504AA"/>
    <w:rsid w:val="00502BE4"/>
    <w:rsid w:val="005C26A8"/>
    <w:rsid w:val="005F4D43"/>
    <w:rsid w:val="00670F66"/>
    <w:rsid w:val="008F249E"/>
    <w:rsid w:val="009039F2"/>
    <w:rsid w:val="00996DD5"/>
    <w:rsid w:val="00A11BD9"/>
    <w:rsid w:val="00A82248"/>
    <w:rsid w:val="00B65D92"/>
    <w:rsid w:val="00BA61F1"/>
    <w:rsid w:val="00CC28BC"/>
    <w:rsid w:val="00E43145"/>
    <w:rsid w:val="00F6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9E"/>
    <w:rPr>
      <w:rFonts w:ascii="Arial" w:hAnsi="Arial"/>
      <w:sz w:val="20"/>
    </w:rPr>
  </w:style>
  <w:style w:type="paragraph" w:styleId="Heading1">
    <w:name w:val="heading 1"/>
    <w:basedOn w:val="Normal"/>
    <w:next w:val="Normal"/>
    <w:link w:val="Heading1Char"/>
    <w:autoRedefine/>
    <w:uiPriority w:val="9"/>
    <w:qFormat/>
    <w:rsid w:val="00A82248"/>
    <w:pPr>
      <w:keepNext/>
      <w:keepLines/>
      <w:widowControl w:val="0"/>
      <w:spacing w:before="480" w:after="0"/>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autoRedefine/>
    <w:uiPriority w:val="9"/>
    <w:unhideWhenUsed/>
    <w:qFormat/>
    <w:rsid w:val="000E7262"/>
    <w:pPr>
      <w:keepNext/>
      <w:keepLines/>
      <w:widowControl w:val="0"/>
      <w:spacing w:before="200" w:after="0"/>
      <w:outlineLvl w:val="1"/>
    </w:pPr>
    <w:rPr>
      <w:rFonts w:ascii="Times New Roman" w:eastAsia="Times New Roman" w:hAnsi="Times New Roman" w:cstheme="majorBidi"/>
      <w:b/>
      <w:bCs/>
      <w:spacing w:val="-1"/>
      <w:sz w:val="32"/>
      <w:szCs w:val="26"/>
    </w:rPr>
  </w:style>
  <w:style w:type="paragraph" w:styleId="Heading3">
    <w:name w:val="heading 3"/>
    <w:basedOn w:val="Normal"/>
    <w:next w:val="Normal"/>
    <w:link w:val="Heading3Char"/>
    <w:autoRedefine/>
    <w:uiPriority w:val="9"/>
    <w:unhideWhenUsed/>
    <w:qFormat/>
    <w:rsid w:val="000E7262"/>
    <w:pPr>
      <w:keepNext/>
      <w:keepLines/>
      <w:widowControl w:val="0"/>
      <w:spacing w:before="200" w:after="0"/>
      <w:ind w:left="720"/>
      <w:outlineLvl w:val="2"/>
    </w:pPr>
    <w:rPr>
      <w:rFonts w:ascii="Times New Roman" w:eastAsiaTheme="majorEastAsia" w:hAnsi="Times New Roman"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262"/>
    <w:rPr>
      <w:rFonts w:ascii="Times New Roman" w:eastAsia="Times New Roman" w:hAnsi="Times New Roman" w:cstheme="majorBidi"/>
      <w:b/>
      <w:bCs/>
      <w:spacing w:val="-1"/>
      <w:sz w:val="32"/>
      <w:szCs w:val="26"/>
    </w:rPr>
  </w:style>
  <w:style w:type="character" w:customStyle="1" w:styleId="Heading3Char">
    <w:name w:val="Heading 3 Char"/>
    <w:basedOn w:val="DefaultParagraphFont"/>
    <w:link w:val="Heading3"/>
    <w:uiPriority w:val="9"/>
    <w:rsid w:val="000E7262"/>
    <w:rPr>
      <w:rFonts w:ascii="Times New Roman" w:eastAsiaTheme="majorEastAsia" w:hAnsi="Times New Roman" w:cstheme="majorBidi"/>
      <w:b/>
      <w:bCs/>
      <w:sz w:val="28"/>
    </w:rPr>
  </w:style>
  <w:style w:type="character" w:customStyle="1" w:styleId="Heading1Char">
    <w:name w:val="Heading 1 Char"/>
    <w:basedOn w:val="DefaultParagraphFont"/>
    <w:link w:val="Heading1"/>
    <w:uiPriority w:val="9"/>
    <w:rsid w:val="00A82248"/>
    <w:rPr>
      <w:rFonts w:ascii="Times New Roman" w:eastAsiaTheme="majorEastAsia" w:hAnsi="Times New Roman" w:cstheme="majorBidi"/>
      <w:b/>
      <w:bCs/>
      <w:sz w:val="36"/>
      <w:szCs w:val="28"/>
    </w:rPr>
  </w:style>
  <w:style w:type="paragraph" w:styleId="EndnoteText">
    <w:name w:val="endnote text"/>
    <w:basedOn w:val="Normal"/>
    <w:link w:val="EndnoteTextChar"/>
    <w:semiHidden/>
    <w:unhideWhenUsed/>
    <w:rsid w:val="005C26A8"/>
    <w:pPr>
      <w:overflowPunct w:val="0"/>
      <w:autoSpaceDE w:val="0"/>
      <w:autoSpaceDN w:val="0"/>
      <w:adjustRightInd w:val="0"/>
      <w:spacing w:after="0" w:line="240" w:lineRule="auto"/>
    </w:pPr>
    <w:rPr>
      <w:rFonts w:ascii="Courier New" w:eastAsia="Times New Roman" w:hAnsi="Courier New" w:cs="Times New Roman"/>
      <w:szCs w:val="20"/>
    </w:rPr>
  </w:style>
  <w:style w:type="character" w:customStyle="1" w:styleId="EndnoteTextChar">
    <w:name w:val="Endnote Text Char"/>
    <w:basedOn w:val="DefaultParagraphFont"/>
    <w:link w:val="EndnoteText"/>
    <w:semiHidden/>
    <w:rsid w:val="005C26A8"/>
    <w:rPr>
      <w:rFonts w:ascii="Courier New" w:eastAsia="Times New Roman" w:hAnsi="Courier New" w:cs="Times New Roman"/>
      <w:sz w:val="20"/>
      <w:szCs w:val="20"/>
    </w:rPr>
  </w:style>
  <w:style w:type="character" w:styleId="EndnoteReference">
    <w:name w:val="endnote reference"/>
    <w:semiHidden/>
    <w:unhideWhenUsed/>
    <w:rsid w:val="005C26A8"/>
    <w:rPr>
      <w:vertAlign w:val="superscript"/>
    </w:rPr>
  </w:style>
  <w:style w:type="paragraph" w:styleId="Subtitle">
    <w:name w:val="Subtitle"/>
    <w:aliases w:val="Footnotes"/>
    <w:basedOn w:val="EndnoteText"/>
    <w:next w:val="Normal"/>
    <w:link w:val="SubtitleChar"/>
    <w:uiPriority w:val="11"/>
    <w:qFormat/>
    <w:rsid w:val="004504AA"/>
    <w:rPr>
      <w:rFonts w:ascii="Times New Roman" w:hAnsi="Times New Roman"/>
      <w:spacing w:val="-2"/>
    </w:rPr>
  </w:style>
  <w:style w:type="character" w:customStyle="1" w:styleId="SubtitleChar">
    <w:name w:val="Subtitle Char"/>
    <w:aliases w:val="Footnotes Char"/>
    <w:basedOn w:val="DefaultParagraphFont"/>
    <w:link w:val="Subtitle"/>
    <w:uiPriority w:val="11"/>
    <w:rsid w:val="004504AA"/>
    <w:rPr>
      <w:rFonts w:ascii="Times New Roman" w:eastAsia="Times New Roman" w:hAnsi="Times New Roman" w:cs="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9E"/>
    <w:rPr>
      <w:rFonts w:ascii="Arial" w:hAnsi="Arial"/>
      <w:sz w:val="20"/>
    </w:rPr>
  </w:style>
  <w:style w:type="paragraph" w:styleId="Heading1">
    <w:name w:val="heading 1"/>
    <w:basedOn w:val="Normal"/>
    <w:next w:val="Normal"/>
    <w:link w:val="Heading1Char"/>
    <w:autoRedefine/>
    <w:uiPriority w:val="9"/>
    <w:qFormat/>
    <w:rsid w:val="00A82248"/>
    <w:pPr>
      <w:keepNext/>
      <w:keepLines/>
      <w:widowControl w:val="0"/>
      <w:spacing w:before="480" w:after="0"/>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autoRedefine/>
    <w:uiPriority w:val="9"/>
    <w:unhideWhenUsed/>
    <w:qFormat/>
    <w:rsid w:val="000E7262"/>
    <w:pPr>
      <w:keepNext/>
      <w:keepLines/>
      <w:widowControl w:val="0"/>
      <w:spacing w:before="200" w:after="0"/>
      <w:outlineLvl w:val="1"/>
    </w:pPr>
    <w:rPr>
      <w:rFonts w:ascii="Times New Roman" w:eastAsia="Times New Roman" w:hAnsi="Times New Roman" w:cstheme="majorBidi"/>
      <w:b/>
      <w:bCs/>
      <w:spacing w:val="-1"/>
      <w:sz w:val="32"/>
      <w:szCs w:val="26"/>
    </w:rPr>
  </w:style>
  <w:style w:type="paragraph" w:styleId="Heading3">
    <w:name w:val="heading 3"/>
    <w:basedOn w:val="Normal"/>
    <w:next w:val="Normal"/>
    <w:link w:val="Heading3Char"/>
    <w:autoRedefine/>
    <w:uiPriority w:val="9"/>
    <w:unhideWhenUsed/>
    <w:qFormat/>
    <w:rsid w:val="000E7262"/>
    <w:pPr>
      <w:keepNext/>
      <w:keepLines/>
      <w:widowControl w:val="0"/>
      <w:spacing w:before="200" w:after="0"/>
      <w:ind w:left="720"/>
      <w:outlineLvl w:val="2"/>
    </w:pPr>
    <w:rPr>
      <w:rFonts w:ascii="Times New Roman" w:eastAsiaTheme="majorEastAsia" w:hAnsi="Times New Roman"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262"/>
    <w:rPr>
      <w:rFonts w:ascii="Times New Roman" w:eastAsia="Times New Roman" w:hAnsi="Times New Roman" w:cstheme="majorBidi"/>
      <w:b/>
      <w:bCs/>
      <w:spacing w:val="-1"/>
      <w:sz w:val="32"/>
      <w:szCs w:val="26"/>
    </w:rPr>
  </w:style>
  <w:style w:type="character" w:customStyle="1" w:styleId="Heading3Char">
    <w:name w:val="Heading 3 Char"/>
    <w:basedOn w:val="DefaultParagraphFont"/>
    <w:link w:val="Heading3"/>
    <w:uiPriority w:val="9"/>
    <w:rsid w:val="000E7262"/>
    <w:rPr>
      <w:rFonts w:ascii="Times New Roman" w:eastAsiaTheme="majorEastAsia" w:hAnsi="Times New Roman" w:cstheme="majorBidi"/>
      <w:b/>
      <w:bCs/>
      <w:sz w:val="28"/>
    </w:rPr>
  </w:style>
  <w:style w:type="character" w:customStyle="1" w:styleId="Heading1Char">
    <w:name w:val="Heading 1 Char"/>
    <w:basedOn w:val="DefaultParagraphFont"/>
    <w:link w:val="Heading1"/>
    <w:uiPriority w:val="9"/>
    <w:rsid w:val="00A82248"/>
    <w:rPr>
      <w:rFonts w:ascii="Times New Roman" w:eastAsiaTheme="majorEastAsia" w:hAnsi="Times New Roman" w:cstheme="majorBidi"/>
      <w:b/>
      <w:bCs/>
      <w:sz w:val="36"/>
      <w:szCs w:val="28"/>
    </w:rPr>
  </w:style>
  <w:style w:type="paragraph" w:styleId="EndnoteText">
    <w:name w:val="endnote text"/>
    <w:basedOn w:val="Normal"/>
    <w:link w:val="EndnoteTextChar"/>
    <w:semiHidden/>
    <w:unhideWhenUsed/>
    <w:rsid w:val="005C26A8"/>
    <w:pPr>
      <w:overflowPunct w:val="0"/>
      <w:autoSpaceDE w:val="0"/>
      <w:autoSpaceDN w:val="0"/>
      <w:adjustRightInd w:val="0"/>
      <w:spacing w:after="0" w:line="240" w:lineRule="auto"/>
    </w:pPr>
    <w:rPr>
      <w:rFonts w:ascii="Courier New" w:eastAsia="Times New Roman" w:hAnsi="Courier New" w:cs="Times New Roman"/>
      <w:szCs w:val="20"/>
    </w:rPr>
  </w:style>
  <w:style w:type="character" w:customStyle="1" w:styleId="EndnoteTextChar">
    <w:name w:val="Endnote Text Char"/>
    <w:basedOn w:val="DefaultParagraphFont"/>
    <w:link w:val="EndnoteText"/>
    <w:semiHidden/>
    <w:rsid w:val="005C26A8"/>
    <w:rPr>
      <w:rFonts w:ascii="Courier New" w:eastAsia="Times New Roman" w:hAnsi="Courier New" w:cs="Times New Roman"/>
      <w:sz w:val="20"/>
      <w:szCs w:val="20"/>
    </w:rPr>
  </w:style>
  <w:style w:type="character" w:styleId="EndnoteReference">
    <w:name w:val="endnote reference"/>
    <w:semiHidden/>
    <w:unhideWhenUsed/>
    <w:rsid w:val="005C26A8"/>
    <w:rPr>
      <w:vertAlign w:val="superscript"/>
    </w:rPr>
  </w:style>
  <w:style w:type="paragraph" w:styleId="Subtitle">
    <w:name w:val="Subtitle"/>
    <w:aliases w:val="Footnotes"/>
    <w:basedOn w:val="EndnoteText"/>
    <w:next w:val="Normal"/>
    <w:link w:val="SubtitleChar"/>
    <w:uiPriority w:val="11"/>
    <w:qFormat/>
    <w:rsid w:val="004504AA"/>
    <w:rPr>
      <w:rFonts w:ascii="Times New Roman" w:hAnsi="Times New Roman"/>
      <w:spacing w:val="-2"/>
    </w:rPr>
  </w:style>
  <w:style w:type="character" w:customStyle="1" w:styleId="SubtitleChar">
    <w:name w:val="Subtitle Char"/>
    <w:aliases w:val="Footnotes Char"/>
    <w:basedOn w:val="DefaultParagraphFont"/>
    <w:link w:val="Subtitle"/>
    <w:uiPriority w:val="11"/>
    <w:rsid w:val="004504AA"/>
    <w:rPr>
      <w:rFonts w:ascii="Times New Roman" w:eastAsia="Times New Roman" w:hAnsi="Times New Roman" w:cs="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Reed,Laney N (DFPS)</dc:creator>
  <cp:lastModifiedBy>Reed,Laney N (DFPS)</cp:lastModifiedBy>
  <cp:revision>3</cp:revision>
  <dcterms:created xsi:type="dcterms:W3CDTF">2016-03-29T19:24:00Z</dcterms:created>
  <dcterms:modified xsi:type="dcterms:W3CDTF">2016-03-29T19:40:00Z</dcterms:modified>
</cp:coreProperties>
</file>